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5B48E6BA" w:rsidR="0012388D" w:rsidRDefault="00772BDC" w:rsidP="00CA5734">
      <w:pPr>
        <w:rPr>
          <w:rFonts w:cs="Arial"/>
        </w:rPr>
      </w:pPr>
      <w:r>
        <w:rPr>
          <w:rFonts w:cs="Arial"/>
          <w:noProof/>
          <w:lang w:eastAsia="en-GB" w:bidi="ar-SA"/>
        </w:rPr>
        <w:drawing>
          <wp:inline distT="0" distB="0" distL="0" distR="0" wp14:anchorId="32DB846A" wp14:editId="16C84923">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20E430FD" w:rsidR="00A671E6" w:rsidRPr="004A7BF0" w:rsidRDefault="004A7BF0" w:rsidP="00A671E6">
      <w:pPr>
        <w:rPr>
          <w:b/>
          <w:sz w:val="28"/>
          <w:szCs w:val="28"/>
        </w:rPr>
      </w:pPr>
      <w:r w:rsidRPr="004A7BF0">
        <w:rPr>
          <w:b/>
          <w:sz w:val="28"/>
          <w:szCs w:val="28"/>
        </w:rPr>
        <w:t>25 October 2019</w:t>
      </w:r>
    </w:p>
    <w:p w14:paraId="05D0F5F1" w14:textId="0EBE34E9" w:rsidR="00A671E6" w:rsidRPr="004A7BF0" w:rsidRDefault="004A7BF0" w:rsidP="00A671E6">
      <w:pPr>
        <w:rPr>
          <w:b/>
          <w:sz w:val="28"/>
          <w:szCs w:val="28"/>
        </w:rPr>
      </w:pPr>
      <w:r w:rsidRPr="004A7BF0">
        <w:rPr>
          <w:b/>
          <w:sz w:val="28"/>
          <w:szCs w:val="28"/>
        </w:rPr>
        <w:t>[100-19</w:t>
      </w:r>
      <w:r w:rsidR="00A671E6" w:rsidRPr="004A7BF0">
        <w:rPr>
          <w:b/>
          <w:sz w:val="28"/>
          <w:szCs w:val="28"/>
        </w:rPr>
        <w:t>]</w:t>
      </w:r>
    </w:p>
    <w:p w14:paraId="72FDDF54" w14:textId="77777777" w:rsidR="00AC4052" w:rsidRPr="00AC4052" w:rsidRDefault="00AC4052" w:rsidP="00AC4052">
      <w:pPr>
        <w:pStyle w:val="FSTitle"/>
      </w:pPr>
      <w:r w:rsidRPr="00AC4052">
        <w:t>Approval report – Application A1163</w:t>
      </w:r>
    </w:p>
    <w:p w14:paraId="106D8D95" w14:textId="77777777" w:rsidR="00AC4052" w:rsidRPr="00AC4052" w:rsidRDefault="00AC4052" w:rsidP="00AC4052"/>
    <w:p w14:paraId="55DD4E8A" w14:textId="77777777" w:rsidR="00AC4052" w:rsidRPr="00AC4052" w:rsidRDefault="00AC4052" w:rsidP="00AC4052">
      <w:pPr>
        <w:pStyle w:val="FSTitle"/>
      </w:pPr>
      <w:r w:rsidRPr="00AC4052">
        <w:t>Food irradiation definition of herbs and spices</w:t>
      </w:r>
    </w:p>
    <w:p w14:paraId="3C77C31E" w14:textId="77777777" w:rsidR="00A671E6" w:rsidRPr="00A671E6" w:rsidRDefault="00A671E6" w:rsidP="00A671E6"/>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7ECFFF87" w:rsidR="00EB6590" w:rsidRPr="008A6AB8" w:rsidRDefault="001655AA" w:rsidP="00CA5734">
      <w:pPr>
        <w:rPr>
          <w:szCs w:val="22"/>
        </w:rPr>
      </w:pPr>
      <w:r w:rsidRPr="008A6AB8">
        <w:rPr>
          <w:szCs w:val="22"/>
        </w:rPr>
        <w:t>FSANZ has assessed an application made by Sapro Australia to amend section 1.5.3—4 of the Australia New Zealand Food Standards Code (the Code). Sapro request</w:t>
      </w:r>
      <w:r w:rsidR="008A6AB8" w:rsidRPr="008A6AB8">
        <w:rPr>
          <w:szCs w:val="22"/>
        </w:rPr>
        <w:t>ed</w:t>
      </w:r>
      <w:r w:rsidRPr="008A6AB8">
        <w:rPr>
          <w:szCs w:val="22"/>
        </w:rPr>
        <w:t xml:space="preserve"> clarification of the meaning of the terms herbs and spices with respect to food irradiation, in order to ensure uniform interpretation and enforcement</w:t>
      </w:r>
      <w:r w:rsidR="00081B0A" w:rsidRPr="008A6AB8">
        <w:rPr>
          <w:szCs w:val="22"/>
        </w:rPr>
        <w:t>.</w:t>
      </w:r>
    </w:p>
    <w:p w14:paraId="14F32D9E" w14:textId="77777777" w:rsidR="00CA5734" w:rsidRPr="008A6AB8" w:rsidRDefault="00CA5734" w:rsidP="00CA5734"/>
    <w:p w14:paraId="5029D30D" w14:textId="29310F48" w:rsidR="00081B0A" w:rsidRPr="008A6AB8" w:rsidRDefault="00081B0A" w:rsidP="00CA5734">
      <w:r w:rsidRPr="008A6AB8">
        <w:t xml:space="preserve">On </w:t>
      </w:r>
      <w:r w:rsidR="001655AA" w:rsidRPr="008A6AB8">
        <w:t>6 June 2019</w:t>
      </w:r>
      <w:r w:rsidR="003A7B84" w:rsidRPr="008A6AB8">
        <w:t>,</w:t>
      </w:r>
      <w:r w:rsidRPr="008A6AB8">
        <w:t xml:space="preserve"> FSANZ sought </w:t>
      </w:r>
      <w:r w:rsidR="003A7B84" w:rsidRPr="008A6AB8">
        <w:t xml:space="preserve">submissions </w:t>
      </w:r>
      <w:r w:rsidR="00A671E6" w:rsidRPr="008A6AB8">
        <w:t xml:space="preserve">on </w:t>
      </w:r>
      <w:r w:rsidR="00F526BD" w:rsidRPr="008A6AB8">
        <w:t xml:space="preserve">a draft </w:t>
      </w:r>
      <w:r w:rsidR="00E30092" w:rsidRPr="008A6AB8">
        <w:t xml:space="preserve">variation </w:t>
      </w:r>
      <w:r w:rsidR="003A7B84" w:rsidRPr="008A6AB8">
        <w:t xml:space="preserve">and published an </w:t>
      </w:r>
      <w:r w:rsidR="00EC21DF" w:rsidRPr="008A6AB8">
        <w:t>associated r</w:t>
      </w:r>
      <w:r w:rsidR="003A7B84" w:rsidRPr="008A6AB8">
        <w:t>eport</w:t>
      </w:r>
      <w:r w:rsidRPr="008A6AB8">
        <w:t>.</w:t>
      </w:r>
      <w:r w:rsidR="00F526BD" w:rsidRPr="008A6AB8">
        <w:t xml:space="preserve"> FSANZ received </w:t>
      </w:r>
      <w:r w:rsidR="001655AA" w:rsidRPr="008A6AB8">
        <w:t>8</w:t>
      </w:r>
      <w:r w:rsidR="00F526BD" w:rsidRPr="008A6AB8">
        <w:t xml:space="preserve"> submissions.</w:t>
      </w:r>
    </w:p>
    <w:p w14:paraId="6F926C97" w14:textId="77777777" w:rsidR="00CA5734" w:rsidRPr="008A6AB8" w:rsidRDefault="00CA5734" w:rsidP="00CA5734"/>
    <w:p w14:paraId="5F5CD903" w14:textId="1D4A33B4" w:rsidR="00081B0A" w:rsidRPr="008A6AB8" w:rsidRDefault="00081B0A" w:rsidP="00CA5734">
      <w:r w:rsidRPr="008A6AB8">
        <w:t xml:space="preserve">FSANZ approved the draft </w:t>
      </w:r>
      <w:r w:rsidR="00E30092" w:rsidRPr="008A6AB8">
        <w:t xml:space="preserve">variation </w:t>
      </w:r>
      <w:r w:rsidR="0012388D" w:rsidRPr="008A6AB8">
        <w:t xml:space="preserve">on </w:t>
      </w:r>
      <w:r w:rsidR="00AC4052" w:rsidRPr="008A6AB8">
        <w:t>21 October 2019</w:t>
      </w:r>
      <w:r w:rsidRPr="008A6AB8">
        <w:t xml:space="preserve">. </w:t>
      </w:r>
      <w:r w:rsidR="003A7B84" w:rsidRPr="008A6AB8">
        <w:t xml:space="preserve">The </w:t>
      </w:r>
      <w:r w:rsidR="00011187" w:rsidRPr="008A6AB8">
        <w:rPr>
          <w:rFonts w:cs="Helvetica"/>
          <w:lang w:val="en-AU"/>
        </w:rPr>
        <w:t xml:space="preserve">Australia and New Zealand Ministerial Forum on Food </w:t>
      </w:r>
      <w:r w:rsidR="00011187" w:rsidRPr="008A6AB8">
        <w:rPr>
          <w:rFonts w:cs="Arial"/>
        </w:rPr>
        <w:t>Regulation</w:t>
      </w:r>
      <w:r w:rsidR="003A7B84" w:rsidRPr="008A6AB8">
        <w:t xml:space="preserve"> was notified of FSANZ’s decision on </w:t>
      </w:r>
      <w:r w:rsidR="00B27365">
        <w:t>25</w:t>
      </w:r>
      <w:bookmarkStart w:id="0" w:name="_GoBack"/>
      <w:bookmarkEnd w:id="0"/>
      <w:r w:rsidR="004A7BF0" w:rsidRPr="004A7BF0">
        <w:t xml:space="preserve"> October 2019.</w:t>
      </w:r>
    </w:p>
    <w:p w14:paraId="07FE212F" w14:textId="77777777" w:rsidR="00CA5734" w:rsidRPr="008A6AB8" w:rsidRDefault="00CA5734" w:rsidP="00CA5734"/>
    <w:p w14:paraId="3B4BBA6D" w14:textId="0A14829D" w:rsidR="00081B0A" w:rsidRPr="008A6AB8" w:rsidRDefault="003A7B84" w:rsidP="00292B9B">
      <w:r w:rsidRPr="008A6AB8">
        <w:t>This R</w:t>
      </w:r>
      <w:r w:rsidR="00B425AA" w:rsidRPr="008A6AB8">
        <w:t xml:space="preserve">eport is provided pursuant to </w:t>
      </w:r>
      <w:r w:rsidR="009A2699" w:rsidRPr="008A6AB8">
        <w:t>paragraph</w:t>
      </w:r>
      <w:r w:rsidR="00081B0A" w:rsidRPr="008A6AB8">
        <w:t xml:space="preserve"> 33(1)(b) of the </w:t>
      </w:r>
      <w:r w:rsidR="00081B0A" w:rsidRPr="008A6AB8">
        <w:rPr>
          <w:i/>
        </w:rPr>
        <w:t>Food Standards Australia New Zealand Act 1991</w:t>
      </w:r>
      <w:r w:rsidR="00081B0A" w:rsidRPr="008A6AB8">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15E6FF4F" w14:textId="161A41DB" w:rsidR="00B95202"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9270478" w:history="1">
        <w:r w:rsidR="00B95202" w:rsidRPr="00266BB8">
          <w:rPr>
            <w:rStyle w:val="Hyperlink"/>
            <w:noProof/>
          </w:rPr>
          <w:t>Executive summary</w:t>
        </w:r>
        <w:r w:rsidR="00B95202">
          <w:rPr>
            <w:noProof/>
            <w:webHidden/>
          </w:rPr>
          <w:tab/>
        </w:r>
        <w:r w:rsidR="00B95202">
          <w:rPr>
            <w:noProof/>
            <w:webHidden/>
          </w:rPr>
          <w:fldChar w:fldCharType="begin"/>
        </w:r>
        <w:r w:rsidR="00B95202">
          <w:rPr>
            <w:noProof/>
            <w:webHidden/>
          </w:rPr>
          <w:instrText xml:space="preserve"> PAGEREF _Toc19270478 \h </w:instrText>
        </w:r>
        <w:r w:rsidR="00B95202">
          <w:rPr>
            <w:noProof/>
            <w:webHidden/>
          </w:rPr>
        </w:r>
        <w:r w:rsidR="00B95202">
          <w:rPr>
            <w:noProof/>
            <w:webHidden/>
          </w:rPr>
          <w:fldChar w:fldCharType="separate"/>
        </w:r>
        <w:r w:rsidR="00B95202">
          <w:rPr>
            <w:noProof/>
            <w:webHidden/>
          </w:rPr>
          <w:t>2</w:t>
        </w:r>
        <w:r w:rsidR="00B95202">
          <w:rPr>
            <w:noProof/>
            <w:webHidden/>
          </w:rPr>
          <w:fldChar w:fldCharType="end"/>
        </w:r>
      </w:hyperlink>
    </w:p>
    <w:p w14:paraId="59DD3664" w14:textId="691F768A" w:rsidR="00B95202" w:rsidRDefault="003F3B48">
      <w:pPr>
        <w:pStyle w:val="TOC1"/>
        <w:tabs>
          <w:tab w:val="left" w:pos="440"/>
          <w:tab w:val="right" w:leader="dot" w:pos="9060"/>
        </w:tabs>
        <w:rPr>
          <w:rFonts w:eastAsiaTheme="minorEastAsia" w:cstheme="minorBidi"/>
          <w:b w:val="0"/>
          <w:bCs w:val="0"/>
          <w:caps w:val="0"/>
          <w:noProof/>
          <w:sz w:val="22"/>
          <w:szCs w:val="22"/>
          <w:lang w:eastAsia="en-GB" w:bidi="ar-SA"/>
        </w:rPr>
      </w:pPr>
      <w:hyperlink w:anchor="_Toc19270479" w:history="1">
        <w:r w:rsidR="00B95202" w:rsidRPr="00266BB8">
          <w:rPr>
            <w:rStyle w:val="Hyperlink"/>
            <w:noProof/>
          </w:rPr>
          <w:t>1</w:t>
        </w:r>
        <w:r w:rsidR="00B95202">
          <w:rPr>
            <w:rFonts w:eastAsiaTheme="minorEastAsia" w:cstheme="minorBidi"/>
            <w:b w:val="0"/>
            <w:bCs w:val="0"/>
            <w:caps w:val="0"/>
            <w:noProof/>
            <w:sz w:val="22"/>
            <w:szCs w:val="22"/>
            <w:lang w:eastAsia="en-GB" w:bidi="ar-SA"/>
          </w:rPr>
          <w:tab/>
        </w:r>
        <w:r w:rsidR="00B95202" w:rsidRPr="00266BB8">
          <w:rPr>
            <w:rStyle w:val="Hyperlink"/>
            <w:noProof/>
          </w:rPr>
          <w:t>Introduction</w:t>
        </w:r>
        <w:r w:rsidR="00B95202">
          <w:rPr>
            <w:noProof/>
            <w:webHidden/>
          </w:rPr>
          <w:tab/>
        </w:r>
        <w:r w:rsidR="00B95202">
          <w:rPr>
            <w:noProof/>
            <w:webHidden/>
          </w:rPr>
          <w:fldChar w:fldCharType="begin"/>
        </w:r>
        <w:r w:rsidR="00B95202">
          <w:rPr>
            <w:noProof/>
            <w:webHidden/>
          </w:rPr>
          <w:instrText xml:space="preserve"> PAGEREF _Toc19270479 \h </w:instrText>
        </w:r>
        <w:r w:rsidR="00B95202">
          <w:rPr>
            <w:noProof/>
            <w:webHidden/>
          </w:rPr>
        </w:r>
        <w:r w:rsidR="00B95202">
          <w:rPr>
            <w:noProof/>
            <w:webHidden/>
          </w:rPr>
          <w:fldChar w:fldCharType="separate"/>
        </w:r>
        <w:r w:rsidR="00B95202">
          <w:rPr>
            <w:noProof/>
            <w:webHidden/>
          </w:rPr>
          <w:t>3</w:t>
        </w:r>
        <w:r w:rsidR="00B95202">
          <w:rPr>
            <w:noProof/>
            <w:webHidden/>
          </w:rPr>
          <w:fldChar w:fldCharType="end"/>
        </w:r>
      </w:hyperlink>
    </w:p>
    <w:p w14:paraId="167C791E" w14:textId="1AD0FBF3"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480" w:history="1">
        <w:r w:rsidR="00B95202" w:rsidRPr="00266BB8">
          <w:rPr>
            <w:rStyle w:val="Hyperlink"/>
            <w:noProof/>
          </w:rPr>
          <w:t>1.1</w:t>
        </w:r>
        <w:r w:rsidR="00B95202">
          <w:rPr>
            <w:rFonts w:eastAsiaTheme="minorEastAsia" w:cstheme="minorBidi"/>
            <w:smallCaps w:val="0"/>
            <w:noProof/>
            <w:sz w:val="22"/>
            <w:szCs w:val="22"/>
            <w:lang w:eastAsia="en-GB" w:bidi="ar-SA"/>
          </w:rPr>
          <w:tab/>
        </w:r>
        <w:r w:rsidR="00B95202" w:rsidRPr="00266BB8">
          <w:rPr>
            <w:rStyle w:val="Hyperlink"/>
            <w:noProof/>
          </w:rPr>
          <w:t>The Applicant</w:t>
        </w:r>
        <w:r w:rsidR="00B95202">
          <w:rPr>
            <w:noProof/>
            <w:webHidden/>
          </w:rPr>
          <w:tab/>
        </w:r>
        <w:r w:rsidR="00B95202">
          <w:rPr>
            <w:noProof/>
            <w:webHidden/>
          </w:rPr>
          <w:fldChar w:fldCharType="begin"/>
        </w:r>
        <w:r w:rsidR="00B95202">
          <w:rPr>
            <w:noProof/>
            <w:webHidden/>
          </w:rPr>
          <w:instrText xml:space="preserve"> PAGEREF _Toc19270480 \h </w:instrText>
        </w:r>
        <w:r w:rsidR="00B95202">
          <w:rPr>
            <w:noProof/>
            <w:webHidden/>
          </w:rPr>
        </w:r>
        <w:r w:rsidR="00B95202">
          <w:rPr>
            <w:noProof/>
            <w:webHidden/>
          </w:rPr>
          <w:fldChar w:fldCharType="separate"/>
        </w:r>
        <w:r w:rsidR="00B95202">
          <w:rPr>
            <w:noProof/>
            <w:webHidden/>
          </w:rPr>
          <w:t>3</w:t>
        </w:r>
        <w:r w:rsidR="00B95202">
          <w:rPr>
            <w:noProof/>
            <w:webHidden/>
          </w:rPr>
          <w:fldChar w:fldCharType="end"/>
        </w:r>
      </w:hyperlink>
    </w:p>
    <w:p w14:paraId="403F1EC2" w14:textId="4779F1C2"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481" w:history="1">
        <w:r w:rsidR="00B95202" w:rsidRPr="00266BB8">
          <w:rPr>
            <w:rStyle w:val="Hyperlink"/>
            <w:noProof/>
          </w:rPr>
          <w:t>1.2</w:t>
        </w:r>
        <w:r w:rsidR="00B95202">
          <w:rPr>
            <w:rFonts w:eastAsiaTheme="minorEastAsia" w:cstheme="minorBidi"/>
            <w:smallCaps w:val="0"/>
            <w:noProof/>
            <w:sz w:val="22"/>
            <w:szCs w:val="22"/>
            <w:lang w:eastAsia="en-GB" w:bidi="ar-SA"/>
          </w:rPr>
          <w:tab/>
        </w:r>
        <w:r w:rsidR="00B95202" w:rsidRPr="00266BB8">
          <w:rPr>
            <w:rStyle w:val="Hyperlink"/>
            <w:noProof/>
          </w:rPr>
          <w:t>The Application</w:t>
        </w:r>
        <w:r w:rsidR="00B95202">
          <w:rPr>
            <w:noProof/>
            <w:webHidden/>
          </w:rPr>
          <w:tab/>
        </w:r>
        <w:r w:rsidR="00B95202">
          <w:rPr>
            <w:noProof/>
            <w:webHidden/>
          </w:rPr>
          <w:fldChar w:fldCharType="begin"/>
        </w:r>
        <w:r w:rsidR="00B95202">
          <w:rPr>
            <w:noProof/>
            <w:webHidden/>
          </w:rPr>
          <w:instrText xml:space="preserve"> PAGEREF _Toc19270481 \h </w:instrText>
        </w:r>
        <w:r w:rsidR="00B95202">
          <w:rPr>
            <w:noProof/>
            <w:webHidden/>
          </w:rPr>
        </w:r>
        <w:r w:rsidR="00B95202">
          <w:rPr>
            <w:noProof/>
            <w:webHidden/>
          </w:rPr>
          <w:fldChar w:fldCharType="separate"/>
        </w:r>
        <w:r w:rsidR="00B95202">
          <w:rPr>
            <w:noProof/>
            <w:webHidden/>
          </w:rPr>
          <w:t>3</w:t>
        </w:r>
        <w:r w:rsidR="00B95202">
          <w:rPr>
            <w:noProof/>
            <w:webHidden/>
          </w:rPr>
          <w:fldChar w:fldCharType="end"/>
        </w:r>
      </w:hyperlink>
    </w:p>
    <w:p w14:paraId="508BCE6B" w14:textId="6D8467B7"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482" w:history="1">
        <w:r w:rsidR="00B95202" w:rsidRPr="00266BB8">
          <w:rPr>
            <w:rStyle w:val="Hyperlink"/>
            <w:noProof/>
          </w:rPr>
          <w:t>1.3</w:t>
        </w:r>
        <w:r w:rsidR="00B95202">
          <w:rPr>
            <w:rFonts w:eastAsiaTheme="minorEastAsia" w:cstheme="minorBidi"/>
            <w:smallCaps w:val="0"/>
            <w:noProof/>
            <w:sz w:val="22"/>
            <w:szCs w:val="22"/>
            <w:lang w:eastAsia="en-GB" w:bidi="ar-SA"/>
          </w:rPr>
          <w:tab/>
        </w:r>
        <w:r w:rsidR="00B95202" w:rsidRPr="00266BB8">
          <w:rPr>
            <w:rStyle w:val="Hyperlink"/>
            <w:noProof/>
          </w:rPr>
          <w:t>The current standards</w:t>
        </w:r>
        <w:r w:rsidR="00B95202">
          <w:rPr>
            <w:noProof/>
            <w:webHidden/>
          </w:rPr>
          <w:tab/>
        </w:r>
        <w:r w:rsidR="00B95202">
          <w:rPr>
            <w:noProof/>
            <w:webHidden/>
          </w:rPr>
          <w:fldChar w:fldCharType="begin"/>
        </w:r>
        <w:r w:rsidR="00B95202">
          <w:rPr>
            <w:noProof/>
            <w:webHidden/>
          </w:rPr>
          <w:instrText xml:space="preserve"> PAGEREF _Toc19270482 \h </w:instrText>
        </w:r>
        <w:r w:rsidR="00B95202">
          <w:rPr>
            <w:noProof/>
            <w:webHidden/>
          </w:rPr>
        </w:r>
        <w:r w:rsidR="00B95202">
          <w:rPr>
            <w:noProof/>
            <w:webHidden/>
          </w:rPr>
          <w:fldChar w:fldCharType="separate"/>
        </w:r>
        <w:r w:rsidR="00B95202">
          <w:rPr>
            <w:noProof/>
            <w:webHidden/>
          </w:rPr>
          <w:t>3</w:t>
        </w:r>
        <w:r w:rsidR="00B95202">
          <w:rPr>
            <w:noProof/>
            <w:webHidden/>
          </w:rPr>
          <w:fldChar w:fldCharType="end"/>
        </w:r>
      </w:hyperlink>
    </w:p>
    <w:p w14:paraId="1E7AC5D3" w14:textId="7C9B590A"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483" w:history="1">
        <w:r w:rsidR="00B95202" w:rsidRPr="00266BB8">
          <w:rPr>
            <w:rStyle w:val="Hyperlink"/>
            <w:noProof/>
            <w:u w:color="FFFF00"/>
          </w:rPr>
          <w:t>1.4</w:t>
        </w:r>
        <w:r w:rsidR="00B95202">
          <w:rPr>
            <w:rFonts w:eastAsiaTheme="minorEastAsia" w:cstheme="minorBidi"/>
            <w:smallCaps w:val="0"/>
            <w:noProof/>
            <w:sz w:val="22"/>
            <w:szCs w:val="22"/>
            <w:lang w:eastAsia="en-GB" w:bidi="ar-SA"/>
          </w:rPr>
          <w:tab/>
        </w:r>
        <w:r w:rsidR="00B95202" w:rsidRPr="00266BB8">
          <w:rPr>
            <w:rStyle w:val="Hyperlink"/>
            <w:noProof/>
            <w:u w:color="FFFF00"/>
          </w:rPr>
          <w:t>International standards</w:t>
        </w:r>
        <w:r w:rsidR="00B95202">
          <w:rPr>
            <w:noProof/>
            <w:webHidden/>
          </w:rPr>
          <w:tab/>
        </w:r>
        <w:r w:rsidR="00B95202">
          <w:rPr>
            <w:noProof/>
            <w:webHidden/>
          </w:rPr>
          <w:fldChar w:fldCharType="begin"/>
        </w:r>
        <w:r w:rsidR="00B95202">
          <w:rPr>
            <w:noProof/>
            <w:webHidden/>
          </w:rPr>
          <w:instrText xml:space="preserve"> PAGEREF _Toc19270483 \h </w:instrText>
        </w:r>
        <w:r w:rsidR="00B95202">
          <w:rPr>
            <w:noProof/>
            <w:webHidden/>
          </w:rPr>
        </w:r>
        <w:r w:rsidR="00B95202">
          <w:rPr>
            <w:noProof/>
            <w:webHidden/>
          </w:rPr>
          <w:fldChar w:fldCharType="separate"/>
        </w:r>
        <w:r w:rsidR="00B95202">
          <w:rPr>
            <w:noProof/>
            <w:webHidden/>
          </w:rPr>
          <w:t>4</w:t>
        </w:r>
        <w:r w:rsidR="00B95202">
          <w:rPr>
            <w:noProof/>
            <w:webHidden/>
          </w:rPr>
          <w:fldChar w:fldCharType="end"/>
        </w:r>
      </w:hyperlink>
    </w:p>
    <w:p w14:paraId="6703F928" w14:textId="7CBBC32D" w:rsidR="00B95202" w:rsidRDefault="003F3B48">
      <w:pPr>
        <w:pStyle w:val="TOC3"/>
        <w:tabs>
          <w:tab w:val="left" w:pos="1100"/>
          <w:tab w:val="right" w:leader="dot" w:pos="9060"/>
        </w:tabs>
        <w:rPr>
          <w:rFonts w:eastAsiaTheme="minorEastAsia" w:cstheme="minorBidi"/>
          <w:i w:val="0"/>
          <w:iCs w:val="0"/>
          <w:noProof/>
          <w:sz w:val="22"/>
          <w:szCs w:val="22"/>
          <w:lang w:eastAsia="en-GB" w:bidi="ar-SA"/>
        </w:rPr>
      </w:pPr>
      <w:hyperlink w:anchor="_Toc19270484" w:history="1">
        <w:r w:rsidR="00B95202" w:rsidRPr="00266BB8">
          <w:rPr>
            <w:rStyle w:val="Hyperlink"/>
            <w:noProof/>
          </w:rPr>
          <w:t>1.4.1</w:t>
        </w:r>
        <w:r w:rsidR="00B95202">
          <w:rPr>
            <w:rFonts w:eastAsiaTheme="minorEastAsia" w:cstheme="minorBidi"/>
            <w:i w:val="0"/>
            <w:iCs w:val="0"/>
            <w:noProof/>
            <w:sz w:val="22"/>
            <w:szCs w:val="22"/>
            <w:lang w:eastAsia="en-GB" w:bidi="ar-SA"/>
          </w:rPr>
          <w:tab/>
        </w:r>
        <w:r w:rsidR="00B95202" w:rsidRPr="00266BB8">
          <w:rPr>
            <w:rStyle w:val="Hyperlink"/>
            <w:noProof/>
          </w:rPr>
          <w:t>Codex Alimentarius</w:t>
        </w:r>
        <w:r w:rsidR="00B95202">
          <w:rPr>
            <w:noProof/>
            <w:webHidden/>
          </w:rPr>
          <w:tab/>
        </w:r>
        <w:r w:rsidR="00B95202">
          <w:rPr>
            <w:noProof/>
            <w:webHidden/>
          </w:rPr>
          <w:fldChar w:fldCharType="begin"/>
        </w:r>
        <w:r w:rsidR="00B95202">
          <w:rPr>
            <w:noProof/>
            <w:webHidden/>
          </w:rPr>
          <w:instrText xml:space="preserve"> PAGEREF _Toc19270484 \h </w:instrText>
        </w:r>
        <w:r w:rsidR="00B95202">
          <w:rPr>
            <w:noProof/>
            <w:webHidden/>
          </w:rPr>
        </w:r>
        <w:r w:rsidR="00B95202">
          <w:rPr>
            <w:noProof/>
            <w:webHidden/>
          </w:rPr>
          <w:fldChar w:fldCharType="separate"/>
        </w:r>
        <w:r w:rsidR="00B95202">
          <w:rPr>
            <w:noProof/>
            <w:webHidden/>
          </w:rPr>
          <w:t>4</w:t>
        </w:r>
        <w:r w:rsidR="00B95202">
          <w:rPr>
            <w:noProof/>
            <w:webHidden/>
          </w:rPr>
          <w:fldChar w:fldCharType="end"/>
        </w:r>
      </w:hyperlink>
    </w:p>
    <w:p w14:paraId="1E7A54A4" w14:textId="772FFB32" w:rsidR="00B95202" w:rsidRDefault="003F3B48">
      <w:pPr>
        <w:pStyle w:val="TOC3"/>
        <w:tabs>
          <w:tab w:val="left" w:pos="1100"/>
          <w:tab w:val="right" w:leader="dot" w:pos="9060"/>
        </w:tabs>
        <w:rPr>
          <w:rFonts w:eastAsiaTheme="minorEastAsia" w:cstheme="minorBidi"/>
          <w:i w:val="0"/>
          <w:iCs w:val="0"/>
          <w:noProof/>
          <w:sz w:val="22"/>
          <w:szCs w:val="22"/>
          <w:lang w:eastAsia="en-GB" w:bidi="ar-SA"/>
        </w:rPr>
      </w:pPr>
      <w:hyperlink w:anchor="_Toc19270485" w:history="1">
        <w:r w:rsidR="00B95202" w:rsidRPr="00266BB8">
          <w:rPr>
            <w:rStyle w:val="Hyperlink"/>
            <w:noProof/>
          </w:rPr>
          <w:t>1.4.2</w:t>
        </w:r>
        <w:r w:rsidR="00B95202">
          <w:rPr>
            <w:rFonts w:eastAsiaTheme="minorEastAsia" w:cstheme="minorBidi"/>
            <w:i w:val="0"/>
            <w:iCs w:val="0"/>
            <w:noProof/>
            <w:sz w:val="22"/>
            <w:szCs w:val="22"/>
            <w:lang w:eastAsia="en-GB" w:bidi="ar-SA"/>
          </w:rPr>
          <w:tab/>
        </w:r>
        <w:r w:rsidR="00B95202" w:rsidRPr="00266BB8">
          <w:rPr>
            <w:rStyle w:val="Hyperlink"/>
            <w:noProof/>
          </w:rPr>
          <w:t>European Union</w:t>
        </w:r>
        <w:r w:rsidR="00B95202">
          <w:rPr>
            <w:noProof/>
            <w:webHidden/>
          </w:rPr>
          <w:tab/>
        </w:r>
        <w:r w:rsidR="00B95202">
          <w:rPr>
            <w:noProof/>
            <w:webHidden/>
          </w:rPr>
          <w:fldChar w:fldCharType="begin"/>
        </w:r>
        <w:r w:rsidR="00B95202">
          <w:rPr>
            <w:noProof/>
            <w:webHidden/>
          </w:rPr>
          <w:instrText xml:space="preserve"> PAGEREF _Toc19270485 \h </w:instrText>
        </w:r>
        <w:r w:rsidR="00B95202">
          <w:rPr>
            <w:noProof/>
            <w:webHidden/>
          </w:rPr>
        </w:r>
        <w:r w:rsidR="00B95202">
          <w:rPr>
            <w:noProof/>
            <w:webHidden/>
          </w:rPr>
          <w:fldChar w:fldCharType="separate"/>
        </w:r>
        <w:r w:rsidR="00B95202">
          <w:rPr>
            <w:noProof/>
            <w:webHidden/>
          </w:rPr>
          <w:t>5</w:t>
        </w:r>
        <w:r w:rsidR="00B95202">
          <w:rPr>
            <w:noProof/>
            <w:webHidden/>
          </w:rPr>
          <w:fldChar w:fldCharType="end"/>
        </w:r>
      </w:hyperlink>
    </w:p>
    <w:p w14:paraId="560DDAA3" w14:textId="207A2BD2" w:rsidR="00B95202" w:rsidRDefault="003F3B48">
      <w:pPr>
        <w:pStyle w:val="TOC3"/>
        <w:tabs>
          <w:tab w:val="left" w:pos="1100"/>
          <w:tab w:val="right" w:leader="dot" w:pos="9060"/>
        </w:tabs>
        <w:rPr>
          <w:rFonts w:eastAsiaTheme="minorEastAsia" w:cstheme="minorBidi"/>
          <w:i w:val="0"/>
          <w:iCs w:val="0"/>
          <w:noProof/>
          <w:sz w:val="22"/>
          <w:szCs w:val="22"/>
          <w:lang w:eastAsia="en-GB" w:bidi="ar-SA"/>
        </w:rPr>
      </w:pPr>
      <w:hyperlink w:anchor="_Toc19270486" w:history="1">
        <w:r w:rsidR="00B95202" w:rsidRPr="00266BB8">
          <w:rPr>
            <w:rStyle w:val="Hyperlink"/>
            <w:noProof/>
          </w:rPr>
          <w:t>1.4.3</w:t>
        </w:r>
        <w:r w:rsidR="00B95202">
          <w:rPr>
            <w:rFonts w:eastAsiaTheme="minorEastAsia" w:cstheme="minorBidi"/>
            <w:i w:val="0"/>
            <w:iCs w:val="0"/>
            <w:noProof/>
            <w:sz w:val="22"/>
            <w:szCs w:val="22"/>
            <w:lang w:eastAsia="en-GB" w:bidi="ar-SA"/>
          </w:rPr>
          <w:tab/>
        </w:r>
        <w:r w:rsidR="00B95202" w:rsidRPr="00266BB8">
          <w:rPr>
            <w:rStyle w:val="Hyperlink"/>
            <w:noProof/>
          </w:rPr>
          <w:t>Canada</w:t>
        </w:r>
        <w:r w:rsidR="00B95202">
          <w:rPr>
            <w:noProof/>
            <w:webHidden/>
          </w:rPr>
          <w:tab/>
        </w:r>
        <w:r w:rsidR="00B95202">
          <w:rPr>
            <w:noProof/>
            <w:webHidden/>
          </w:rPr>
          <w:fldChar w:fldCharType="begin"/>
        </w:r>
        <w:r w:rsidR="00B95202">
          <w:rPr>
            <w:noProof/>
            <w:webHidden/>
          </w:rPr>
          <w:instrText xml:space="preserve"> PAGEREF _Toc19270486 \h </w:instrText>
        </w:r>
        <w:r w:rsidR="00B95202">
          <w:rPr>
            <w:noProof/>
            <w:webHidden/>
          </w:rPr>
        </w:r>
        <w:r w:rsidR="00B95202">
          <w:rPr>
            <w:noProof/>
            <w:webHidden/>
          </w:rPr>
          <w:fldChar w:fldCharType="separate"/>
        </w:r>
        <w:r w:rsidR="00B95202">
          <w:rPr>
            <w:noProof/>
            <w:webHidden/>
          </w:rPr>
          <w:t>5</w:t>
        </w:r>
        <w:r w:rsidR="00B95202">
          <w:rPr>
            <w:noProof/>
            <w:webHidden/>
          </w:rPr>
          <w:fldChar w:fldCharType="end"/>
        </w:r>
      </w:hyperlink>
    </w:p>
    <w:p w14:paraId="6C898EDB" w14:textId="463E682E" w:rsidR="00B95202" w:rsidRDefault="003F3B48">
      <w:pPr>
        <w:pStyle w:val="TOC3"/>
        <w:tabs>
          <w:tab w:val="left" w:pos="1100"/>
          <w:tab w:val="right" w:leader="dot" w:pos="9060"/>
        </w:tabs>
        <w:rPr>
          <w:rFonts w:eastAsiaTheme="minorEastAsia" w:cstheme="minorBidi"/>
          <w:i w:val="0"/>
          <w:iCs w:val="0"/>
          <w:noProof/>
          <w:sz w:val="22"/>
          <w:szCs w:val="22"/>
          <w:lang w:eastAsia="en-GB" w:bidi="ar-SA"/>
        </w:rPr>
      </w:pPr>
      <w:hyperlink w:anchor="_Toc19270487" w:history="1">
        <w:r w:rsidR="00B95202" w:rsidRPr="00266BB8">
          <w:rPr>
            <w:rStyle w:val="Hyperlink"/>
            <w:noProof/>
          </w:rPr>
          <w:t>1.4.4</w:t>
        </w:r>
        <w:r w:rsidR="00B95202">
          <w:rPr>
            <w:rFonts w:eastAsiaTheme="minorEastAsia" w:cstheme="minorBidi"/>
            <w:i w:val="0"/>
            <w:iCs w:val="0"/>
            <w:noProof/>
            <w:sz w:val="22"/>
            <w:szCs w:val="22"/>
            <w:lang w:eastAsia="en-GB" w:bidi="ar-SA"/>
          </w:rPr>
          <w:tab/>
        </w:r>
        <w:r w:rsidR="00B95202" w:rsidRPr="00266BB8">
          <w:rPr>
            <w:rStyle w:val="Hyperlink"/>
            <w:noProof/>
          </w:rPr>
          <w:t>United States</w:t>
        </w:r>
        <w:r w:rsidR="00B95202">
          <w:rPr>
            <w:noProof/>
            <w:webHidden/>
          </w:rPr>
          <w:tab/>
        </w:r>
        <w:r w:rsidR="00B95202">
          <w:rPr>
            <w:noProof/>
            <w:webHidden/>
          </w:rPr>
          <w:fldChar w:fldCharType="begin"/>
        </w:r>
        <w:r w:rsidR="00B95202">
          <w:rPr>
            <w:noProof/>
            <w:webHidden/>
          </w:rPr>
          <w:instrText xml:space="preserve"> PAGEREF _Toc19270487 \h </w:instrText>
        </w:r>
        <w:r w:rsidR="00B95202">
          <w:rPr>
            <w:noProof/>
            <w:webHidden/>
          </w:rPr>
        </w:r>
        <w:r w:rsidR="00B95202">
          <w:rPr>
            <w:noProof/>
            <w:webHidden/>
          </w:rPr>
          <w:fldChar w:fldCharType="separate"/>
        </w:r>
        <w:r w:rsidR="00B95202">
          <w:rPr>
            <w:noProof/>
            <w:webHidden/>
          </w:rPr>
          <w:t>5</w:t>
        </w:r>
        <w:r w:rsidR="00B95202">
          <w:rPr>
            <w:noProof/>
            <w:webHidden/>
          </w:rPr>
          <w:fldChar w:fldCharType="end"/>
        </w:r>
      </w:hyperlink>
    </w:p>
    <w:p w14:paraId="743A5A1F" w14:textId="6DB21826"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488" w:history="1">
        <w:r w:rsidR="00B95202" w:rsidRPr="00266BB8">
          <w:rPr>
            <w:rStyle w:val="Hyperlink"/>
            <w:noProof/>
            <w:u w:color="FFFF00"/>
          </w:rPr>
          <w:t>1.5</w:t>
        </w:r>
        <w:r w:rsidR="00B95202">
          <w:rPr>
            <w:rFonts w:eastAsiaTheme="minorEastAsia" w:cstheme="minorBidi"/>
            <w:smallCaps w:val="0"/>
            <w:noProof/>
            <w:sz w:val="22"/>
            <w:szCs w:val="22"/>
            <w:lang w:eastAsia="en-GB" w:bidi="ar-SA"/>
          </w:rPr>
          <w:tab/>
        </w:r>
        <w:r w:rsidR="00B95202" w:rsidRPr="00266BB8">
          <w:rPr>
            <w:rStyle w:val="Hyperlink"/>
            <w:noProof/>
            <w:u w:color="FFFF00"/>
          </w:rPr>
          <w:t>Reasons for accepting Application</w:t>
        </w:r>
        <w:r w:rsidR="00B95202">
          <w:rPr>
            <w:noProof/>
            <w:webHidden/>
          </w:rPr>
          <w:tab/>
        </w:r>
        <w:r w:rsidR="00B95202">
          <w:rPr>
            <w:noProof/>
            <w:webHidden/>
          </w:rPr>
          <w:fldChar w:fldCharType="begin"/>
        </w:r>
        <w:r w:rsidR="00B95202">
          <w:rPr>
            <w:noProof/>
            <w:webHidden/>
          </w:rPr>
          <w:instrText xml:space="preserve"> PAGEREF _Toc19270488 \h </w:instrText>
        </w:r>
        <w:r w:rsidR="00B95202">
          <w:rPr>
            <w:noProof/>
            <w:webHidden/>
          </w:rPr>
        </w:r>
        <w:r w:rsidR="00B95202">
          <w:rPr>
            <w:noProof/>
            <w:webHidden/>
          </w:rPr>
          <w:fldChar w:fldCharType="separate"/>
        </w:r>
        <w:r w:rsidR="00B95202">
          <w:rPr>
            <w:noProof/>
            <w:webHidden/>
          </w:rPr>
          <w:t>5</w:t>
        </w:r>
        <w:r w:rsidR="00B95202">
          <w:rPr>
            <w:noProof/>
            <w:webHidden/>
          </w:rPr>
          <w:fldChar w:fldCharType="end"/>
        </w:r>
      </w:hyperlink>
    </w:p>
    <w:p w14:paraId="7DA04D1F" w14:textId="47CBB214"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489" w:history="1">
        <w:r w:rsidR="00B95202" w:rsidRPr="00266BB8">
          <w:rPr>
            <w:rStyle w:val="Hyperlink"/>
            <w:noProof/>
          </w:rPr>
          <w:t>1.6</w:t>
        </w:r>
        <w:r w:rsidR="00B95202">
          <w:rPr>
            <w:rFonts w:eastAsiaTheme="minorEastAsia" w:cstheme="minorBidi"/>
            <w:smallCaps w:val="0"/>
            <w:noProof/>
            <w:sz w:val="22"/>
            <w:szCs w:val="22"/>
            <w:lang w:eastAsia="en-GB" w:bidi="ar-SA"/>
          </w:rPr>
          <w:tab/>
        </w:r>
        <w:r w:rsidR="00B95202" w:rsidRPr="00266BB8">
          <w:rPr>
            <w:rStyle w:val="Hyperlink"/>
            <w:noProof/>
          </w:rPr>
          <w:t>Procedure for assessment</w:t>
        </w:r>
        <w:r w:rsidR="00B95202">
          <w:rPr>
            <w:noProof/>
            <w:webHidden/>
          </w:rPr>
          <w:tab/>
        </w:r>
        <w:r w:rsidR="00B95202">
          <w:rPr>
            <w:noProof/>
            <w:webHidden/>
          </w:rPr>
          <w:fldChar w:fldCharType="begin"/>
        </w:r>
        <w:r w:rsidR="00B95202">
          <w:rPr>
            <w:noProof/>
            <w:webHidden/>
          </w:rPr>
          <w:instrText xml:space="preserve"> PAGEREF _Toc19270489 \h </w:instrText>
        </w:r>
        <w:r w:rsidR="00B95202">
          <w:rPr>
            <w:noProof/>
            <w:webHidden/>
          </w:rPr>
        </w:r>
        <w:r w:rsidR="00B95202">
          <w:rPr>
            <w:noProof/>
            <w:webHidden/>
          </w:rPr>
          <w:fldChar w:fldCharType="separate"/>
        </w:r>
        <w:r w:rsidR="00B95202">
          <w:rPr>
            <w:noProof/>
            <w:webHidden/>
          </w:rPr>
          <w:t>5</w:t>
        </w:r>
        <w:r w:rsidR="00B95202">
          <w:rPr>
            <w:noProof/>
            <w:webHidden/>
          </w:rPr>
          <w:fldChar w:fldCharType="end"/>
        </w:r>
      </w:hyperlink>
    </w:p>
    <w:p w14:paraId="09BB93D4" w14:textId="5FB65258"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490" w:history="1">
        <w:r w:rsidR="00B95202" w:rsidRPr="00266BB8">
          <w:rPr>
            <w:rStyle w:val="Hyperlink"/>
            <w:noProof/>
          </w:rPr>
          <w:t>1.7</w:t>
        </w:r>
        <w:r w:rsidR="00B95202">
          <w:rPr>
            <w:rFonts w:eastAsiaTheme="minorEastAsia" w:cstheme="minorBidi"/>
            <w:smallCaps w:val="0"/>
            <w:noProof/>
            <w:sz w:val="22"/>
            <w:szCs w:val="22"/>
            <w:lang w:eastAsia="en-GB" w:bidi="ar-SA"/>
          </w:rPr>
          <w:tab/>
        </w:r>
        <w:r w:rsidR="00B95202" w:rsidRPr="00266BB8">
          <w:rPr>
            <w:rStyle w:val="Hyperlink"/>
            <w:noProof/>
          </w:rPr>
          <w:t>Decision</w:t>
        </w:r>
        <w:r w:rsidR="00B95202">
          <w:rPr>
            <w:noProof/>
            <w:webHidden/>
          </w:rPr>
          <w:tab/>
        </w:r>
        <w:r w:rsidR="00B95202">
          <w:rPr>
            <w:noProof/>
            <w:webHidden/>
          </w:rPr>
          <w:fldChar w:fldCharType="begin"/>
        </w:r>
        <w:r w:rsidR="00B95202">
          <w:rPr>
            <w:noProof/>
            <w:webHidden/>
          </w:rPr>
          <w:instrText xml:space="preserve"> PAGEREF _Toc19270490 \h </w:instrText>
        </w:r>
        <w:r w:rsidR="00B95202">
          <w:rPr>
            <w:noProof/>
            <w:webHidden/>
          </w:rPr>
        </w:r>
        <w:r w:rsidR="00B95202">
          <w:rPr>
            <w:noProof/>
            <w:webHidden/>
          </w:rPr>
          <w:fldChar w:fldCharType="separate"/>
        </w:r>
        <w:r w:rsidR="00B95202">
          <w:rPr>
            <w:noProof/>
            <w:webHidden/>
          </w:rPr>
          <w:t>5</w:t>
        </w:r>
        <w:r w:rsidR="00B95202">
          <w:rPr>
            <w:noProof/>
            <w:webHidden/>
          </w:rPr>
          <w:fldChar w:fldCharType="end"/>
        </w:r>
      </w:hyperlink>
    </w:p>
    <w:p w14:paraId="7C22DF57" w14:textId="19C92B66" w:rsidR="00B95202" w:rsidRDefault="003F3B48">
      <w:pPr>
        <w:pStyle w:val="TOC1"/>
        <w:tabs>
          <w:tab w:val="left" w:pos="440"/>
          <w:tab w:val="right" w:leader="dot" w:pos="9060"/>
        </w:tabs>
        <w:rPr>
          <w:rFonts w:eastAsiaTheme="minorEastAsia" w:cstheme="minorBidi"/>
          <w:b w:val="0"/>
          <w:bCs w:val="0"/>
          <w:caps w:val="0"/>
          <w:noProof/>
          <w:sz w:val="22"/>
          <w:szCs w:val="22"/>
          <w:lang w:eastAsia="en-GB" w:bidi="ar-SA"/>
        </w:rPr>
      </w:pPr>
      <w:hyperlink w:anchor="_Toc19270491" w:history="1">
        <w:r w:rsidR="00B95202" w:rsidRPr="00266BB8">
          <w:rPr>
            <w:rStyle w:val="Hyperlink"/>
            <w:noProof/>
          </w:rPr>
          <w:t>2</w:t>
        </w:r>
        <w:r w:rsidR="00B95202">
          <w:rPr>
            <w:rFonts w:eastAsiaTheme="minorEastAsia" w:cstheme="minorBidi"/>
            <w:b w:val="0"/>
            <w:bCs w:val="0"/>
            <w:caps w:val="0"/>
            <w:noProof/>
            <w:sz w:val="22"/>
            <w:szCs w:val="22"/>
            <w:lang w:eastAsia="en-GB" w:bidi="ar-SA"/>
          </w:rPr>
          <w:tab/>
        </w:r>
        <w:r w:rsidR="00B95202" w:rsidRPr="00266BB8">
          <w:rPr>
            <w:rStyle w:val="Hyperlink"/>
            <w:noProof/>
          </w:rPr>
          <w:t xml:space="preserve">Summary </w:t>
        </w:r>
        <w:r w:rsidR="00B95202" w:rsidRPr="00266BB8">
          <w:rPr>
            <w:rStyle w:val="Hyperlink"/>
            <w:noProof/>
            <w:u w:color="FFFF00"/>
          </w:rPr>
          <w:t>of</w:t>
        </w:r>
        <w:r w:rsidR="00B95202" w:rsidRPr="00266BB8">
          <w:rPr>
            <w:rStyle w:val="Hyperlink"/>
            <w:noProof/>
          </w:rPr>
          <w:t xml:space="preserve"> the findings</w:t>
        </w:r>
        <w:r w:rsidR="00B95202">
          <w:rPr>
            <w:noProof/>
            <w:webHidden/>
          </w:rPr>
          <w:tab/>
        </w:r>
        <w:r w:rsidR="00B95202">
          <w:rPr>
            <w:noProof/>
            <w:webHidden/>
          </w:rPr>
          <w:fldChar w:fldCharType="begin"/>
        </w:r>
        <w:r w:rsidR="00B95202">
          <w:rPr>
            <w:noProof/>
            <w:webHidden/>
          </w:rPr>
          <w:instrText xml:space="preserve"> PAGEREF _Toc19270491 \h </w:instrText>
        </w:r>
        <w:r w:rsidR="00B95202">
          <w:rPr>
            <w:noProof/>
            <w:webHidden/>
          </w:rPr>
        </w:r>
        <w:r w:rsidR="00B95202">
          <w:rPr>
            <w:noProof/>
            <w:webHidden/>
          </w:rPr>
          <w:fldChar w:fldCharType="separate"/>
        </w:r>
        <w:r w:rsidR="00B95202">
          <w:rPr>
            <w:noProof/>
            <w:webHidden/>
          </w:rPr>
          <w:t>5</w:t>
        </w:r>
        <w:r w:rsidR="00B95202">
          <w:rPr>
            <w:noProof/>
            <w:webHidden/>
          </w:rPr>
          <w:fldChar w:fldCharType="end"/>
        </w:r>
      </w:hyperlink>
    </w:p>
    <w:p w14:paraId="60DEF6B4" w14:textId="378241CA"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492" w:history="1">
        <w:r w:rsidR="00B95202" w:rsidRPr="00266BB8">
          <w:rPr>
            <w:rStyle w:val="Hyperlink"/>
            <w:noProof/>
          </w:rPr>
          <w:t>2.1</w:t>
        </w:r>
        <w:r w:rsidR="00B95202">
          <w:rPr>
            <w:rFonts w:eastAsiaTheme="minorEastAsia" w:cstheme="minorBidi"/>
            <w:smallCaps w:val="0"/>
            <w:noProof/>
            <w:sz w:val="22"/>
            <w:szCs w:val="22"/>
            <w:lang w:eastAsia="en-GB" w:bidi="ar-SA"/>
          </w:rPr>
          <w:tab/>
        </w:r>
        <w:r w:rsidR="00B95202" w:rsidRPr="00266BB8">
          <w:rPr>
            <w:rStyle w:val="Hyperlink"/>
            <w:noProof/>
          </w:rPr>
          <w:t>Summary of issues raised in submissions</w:t>
        </w:r>
        <w:r w:rsidR="00B95202">
          <w:rPr>
            <w:noProof/>
            <w:webHidden/>
          </w:rPr>
          <w:tab/>
        </w:r>
        <w:r w:rsidR="00B95202">
          <w:rPr>
            <w:noProof/>
            <w:webHidden/>
          </w:rPr>
          <w:fldChar w:fldCharType="begin"/>
        </w:r>
        <w:r w:rsidR="00B95202">
          <w:rPr>
            <w:noProof/>
            <w:webHidden/>
          </w:rPr>
          <w:instrText xml:space="preserve"> PAGEREF _Toc19270492 \h </w:instrText>
        </w:r>
        <w:r w:rsidR="00B95202">
          <w:rPr>
            <w:noProof/>
            <w:webHidden/>
          </w:rPr>
        </w:r>
        <w:r w:rsidR="00B95202">
          <w:rPr>
            <w:noProof/>
            <w:webHidden/>
          </w:rPr>
          <w:fldChar w:fldCharType="separate"/>
        </w:r>
        <w:r w:rsidR="00B95202">
          <w:rPr>
            <w:noProof/>
            <w:webHidden/>
          </w:rPr>
          <w:t>5</w:t>
        </w:r>
        <w:r w:rsidR="00B95202">
          <w:rPr>
            <w:noProof/>
            <w:webHidden/>
          </w:rPr>
          <w:fldChar w:fldCharType="end"/>
        </w:r>
      </w:hyperlink>
    </w:p>
    <w:p w14:paraId="64AB3905" w14:textId="2A56CF50"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493" w:history="1">
        <w:r w:rsidR="00B95202" w:rsidRPr="00266BB8">
          <w:rPr>
            <w:rStyle w:val="Hyperlink"/>
            <w:noProof/>
          </w:rPr>
          <w:t>2.2</w:t>
        </w:r>
        <w:r w:rsidR="00B95202">
          <w:rPr>
            <w:rFonts w:eastAsiaTheme="minorEastAsia" w:cstheme="minorBidi"/>
            <w:smallCaps w:val="0"/>
            <w:noProof/>
            <w:sz w:val="22"/>
            <w:szCs w:val="22"/>
            <w:lang w:eastAsia="en-GB" w:bidi="ar-SA"/>
          </w:rPr>
          <w:tab/>
        </w:r>
        <w:r w:rsidR="00B95202" w:rsidRPr="00266BB8">
          <w:rPr>
            <w:rStyle w:val="Hyperlink"/>
            <w:noProof/>
          </w:rPr>
          <w:t>Risk assessment</w:t>
        </w:r>
        <w:r w:rsidR="00B95202">
          <w:rPr>
            <w:noProof/>
            <w:webHidden/>
          </w:rPr>
          <w:tab/>
        </w:r>
        <w:r w:rsidR="00B95202">
          <w:rPr>
            <w:noProof/>
            <w:webHidden/>
          </w:rPr>
          <w:fldChar w:fldCharType="begin"/>
        </w:r>
        <w:r w:rsidR="00B95202">
          <w:rPr>
            <w:noProof/>
            <w:webHidden/>
          </w:rPr>
          <w:instrText xml:space="preserve"> PAGEREF _Toc19270493 \h </w:instrText>
        </w:r>
        <w:r w:rsidR="00B95202">
          <w:rPr>
            <w:noProof/>
            <w:webHidden/>
          </w:rPr>
        </w:r>
        <w:r w:rsidR="00B95202">
          <w:rPr>
            <w:noProof/>
            <w:webHidden/>
          </w:rPr>
          <w:fldChar w:fldCharType="separate"/>
        </w:r>
        <w:r w:rsidR="00B95202">
          <w:rPr>
            <w:noProof/>
            <w:webHidden/>
          </w:rPr>
          <w:t>11</w:t>
        </w:r>
        <w:r w:rsidR="00B95202">
          <w:rPr>
            <w:noProof/>
            <w:webHidden/>
          </w:rPr>
          <w:fldChar w:fldCharType="end"/>
        </w:r>
      </w:hyperlink>
    </w:p>
    <w:p w14:paraId="17B768A9" w14:textId="2B8CDAE7"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494" w:history="1">
        <w:r w:rsidR="00B95202" w:rsidRPr="00266BB8">
          <w:rPr>
            <w:rStyle w:val="Hyperlink"/>
            <w:noProof/>
          </w:rPr>
          <w:t>2.3</w:t>
        </w:r>
        <w:r w:rsidR="00B95202">
          <w:rPr>
            <w:rFonts w:eastAsiaTheme="minorEastAsia" w:cstheme="minorBidi"/>
            <w:smallCaps w:val="0"/>
            <w:noProof/>
            <w:sz w:val="22"/>
            <w:szCs w:val="22"/>
            <w:lang w:eastAsia="en-GB" w:bidi="ar-SA"/>
          </w:rPr>
          <w:tab/>
        </w:r>
        <w:r w:rsidR="00B95202" w:rsidRPr="00266BB8">
          <w:rPr>
            <w:rStyle w:val="Hyperlink"/>
            <w:noProof/>
          </w:rPr>
          <w:t>Risk management</w:t>
        </w:r>
        <w:r w:rsidR="00B95202">
          <w:rPr>
            <w:noProof/>
            <w:webHidden/>
          </w:rPr>
          <w:tab/>
        </w:r>
        <w:r w:rsidR="00B95202">
          <w:rPr>
            <w:noProof/>
            <w:webHidden/>
          </w:rPr>
          <w:fldChar w:fldCharType="begin"/>
        </w:r>
        <w:r w:rsidR="00B95202">
          <w:rPr>
            <w:noProof/>
            <w:webHidden/>
          </w:rPr>
          <w:instrText xml:space="preserve"> PAGEREF _Toc19270494 \h </w:instrText>
        </w:r>
        <w:r w:rsidR="00B95202">
          <w:rPr>
            <w:noProof/>
            <w:webHidden/>
          </w:rPr>
        </w:r>
        <w:r w:rsidR="00B95202">
          <w:rPr>
            <w:noProof/>
            <w:webHidden/>
          </w:rPr>
          <w:fldChar w:fldCharType="separate"/>
        </w:r>
        <w:r w:rsidR="00B95202">
          <w:rPr>
            <w:noProof/>
            <w:webHidden/>
          </w:rPr>
          <w:t>12</w:t>
        </w:r>
        <w:r w:rsidR="00B95202">
          <w:rPr>
            <w:noProof/>
            <w:webHidden/>
          </w:rPr>
          <w:fldChar w:fldCharType="end"/>
        </w:r>
      </w:hyperlink>
    </w:p>
    <w:p w14:paraId="7236C7D3" w14:textId="67064251" w:rsidR="00B95202" w:rsidRDefault="003F3B48">
      <w:pPr>
        <w:pStyle w:val="TOC3"/>
        <w:tabs>
          <w:tab w:val="left" w:pos="1100"/>
          <w:tab w:val="right" w:leader="dot" w:pos="9060"/>
        </w:tabs>
        <w:rPr>
          <w:rFonts w:eastAsiaTheme="minorEastAsia" w:cstheme="minorBidi"/>
          <w:i w:val="0"/>
          <w:iCs w:val="0"/>
          <w:noProof/>
          <w:sz w:val="22"/>
          <w:szCs w:val="22"/>
          <w:lang w:eastAsia="en-GB" w:bidi="ar-SA"/>
        </w:rPr>
      </w:pPr>
      <w:hyperlink w:anchor="_Toc19270495" w:history="1">
        <w:r w:rsidR="00B95202" w:rsidRPr="00266BB8">
          <w:rPr>
            <w:rStyle w:val="Hyperlink"/>
            <w:noProof/>
          </w:rPr>
          <w:t>2.3.1</w:t>
        </w:r>
        <w:r w:rsidR="00B95202">
          <w:rPr>
            <w:rFonts w:eastAsiaTheme="minorEastAsia" w:cstheme="minorBidi"/>
            <w:i w:val="0"/>
            <w:iCs w:val="0"/>
            <w:noProof/>
            <w:sz w:val="22"/>
            <w:szCs w:val="22"/>
            <w:lang w:eastAsia="en-GB" w:bidi="ar-SA"/>
          </w:rPr>
          <w:tab/>
        </w:r>
        <w:r w:rsidR="00B95202" w:rsidRPr="00266BB8">
          <w:rPr>
            <w:rStyle w:val="Hyperlink"/>
            <w:noProof/>
          </w:rPr>
          <w:t>Regulatory problem</w:t>
        </w:r>
        <w:r w:rsidR="00B95202">
          <w:rPr>
            <w:noProof/>
            <w:webHidden/>
          </w:rPr>
          <w:tab/>
        </w:r>
        <w:r w:rsidR="00B95202">
          <w:rPr>
            <w:noProof/>
            <w:webHidden/>
          </w:rPr>
          <w:fldChar w:fldCharType="begin"/>
        </w:r>
        <w:r w:rsidR="00B95202">
          <w:rPr>
            <w:noProof/>
            <w:webHidden/>
          </w:rPr>
          <w:instrText xml:space="preserve"> PAGEREF _Toc19270495 \h </w:instrText>
        </w:r>
        <w:r w:rsidR="00B95202">
          <w:rPr>
            <w:noProof/>
            <w:webHidden/>
          </w:rPr>
        </w:r>
        <w:r w:rsidR="00B95202">
          <w:rPr>
            <w:noProof/>
            <w:webHidden/>
          </w:rPr>
          <w:fldChar w:fldCharType="separate"/>
        </w:r>
        <w:r w:rsidR="00B95202">
          <w:rPr>
            <w:noProof/>
            <w:webHidden/>
          </w:rPr>
          <w:t>12</w:t>
        </w:r>
        <w:r w:rsidR="00B95202">
          <w:rPr>
            <w:noProof/>
            <w:webHidden/>
          </w:rPr>
          <w:fldChar w:fldCharType="end"/>
        </w:r>
      </w:hyperlink>
    </w:p>
    <w:p w14:paraId="3A9CDED7" w14:textId="6F8620BD" w:rsidR="00B95202" w:rsidRDefault="003F3B48">
      <w:pPr>
        <w:pStyle w:val="TOC3"/>
        <w:tabs>
          <w:tab w:val="left" w:pos="1100"/>
          <w:tab w:val="right" w:leader="dot" w:pos="9060"/>
        </w:tabs>
        <w:rPr>
          <w:rFonts w:eastAsiaTheme="minorEastAsia" w:cstheme="minorBidi"/>
          <w:i w:val="0"/>
          <w:iCs w:val="0"/>
          <w:noProof/>
          <w:sz w:val="22"/>
          <w:szCs w:val="22"/>
          <w:lang w:eastAsia="en-GB" w:bidi="ar-SA"/>
        </w:rPr>
      </w:pPr>
      <w:hyperlink w:anchor="_Toc19270496" w:history="1">
        <w:r w:rsidR="00B95202" w:rsidRPr="00266BB8">
          <w:rPr>
            <w:rStyle w:val="Hyperlink"/>
            <w:noProof/>
          </w:rPr>
          <w:t>2.3.2</w:t>
        </w:r>
        <w:r w:rsidR="00B95202">
          <w:rPr>
            <w:rFonts w:eastAsiaTheme="minorEastAsia" w:cstheme="minorBidi"/>
            <w:i w:val="0"/>
            <w:iCs w:val="0"/>
            <w:noProof/>
            <w:sz w:val="22"/>
            <w:szCs w:val="22"/>
            <w:lang w:eastAsia="en-GB" w:bidi="ar-SA"/>
          </w:rPr>
          <w:tab/>
        </w:r>
        <w:r w:rsidR="00B95202" w:rsidRPr="00266BB8">
          <w:rPr>
            <w:rStyle w:val="Hyperlink"/>
            <w:noProof/>
          </w:rPr>
          <w:t>Regulatory solution</w:t>
        </w:r>
        <w:r w:rsidR="00B95202">
          <w:rPr>
            <w:noProof/>
            <w:webHidden/>
          </w:rPr>
          <w:tab/>
        </w:r>
        <w:r w:rsidR="00B95202">
          <w:rPr>
            <w:noProof/>
            <w:webHidden/>
          </w:rPr>
          <w:fldChar w:fldCharType="begin"/>
        </w:r>
        <w:r w:rsidR="00B95202">
          <w:rPr>
            <w:noProof/>
            <w:webHidden/>
          </w:rPr>
          <w:instrText xml:space="preserve"> PAGEREF _Toc19270496 \h </w:instrText>
        </w:r>
        <w:r w:rsidR="00B95202">
          <w:rPr>
            <w:noProof/>
            <w:webHidden/>
          </w:rPr>
        </w:r>
        <w:r w:rsidR="00B95202">
          <w:rPr>
            <w:noProof/>
            <w:webHidden/>
          </w:rPr>
          <w:fldChar w:fldCharType="separate"/>
        </w:r>
        <w:r w:rsidR="00B95202">
          <w:rPr>
            <w:noProof/>
            <w:webHidden/>
          </w:rPr>
          <w:t>13</w:t>
        </w:r>
        <w:r w:rsidR="00B95202">
          <w:rPr>
            <w:noProof/>
            <w:webHidden/>
          </w:rPr>
          <w:fldChar w:fldCharType="end"/>
        </w:r>
      </w:hyperlink>
    </w:p>
    <w:p w14:paraId="2F1DBB3E" w14:textId="6C0D6624" w:rsidR="00B95202" w:rsidRDefault="003F3B48">
      <w:pPr>
        <w:pStyle w:val="TOC3"/>
        <w:tabs>
          <w:tab w:val="left" w:pos="1100"/>
          <w:tab w:val="right" w:leader="dot" w:pos="9060"/>
        </w:tabs>
        <w:rPr>
          <w:rFonts w:eastAsiaTheme="minorEastAsia" w:cstheme="minorBidi"/>
          <w:i w:val="0"/>
          <w:iCs w:val="0"/>
          <w:noProof/>
          <w:sz w:val="22"/>
          <w:szCs w:val="22"/>
          <w:lang w:eastAsia="en-GB" w:bidi="ar-SA"/>
        </w:rPr>
      </w:pPr>
      <w:hyperlink w:anchor="_Toc19270497" w:history="1">
        <w:r w:rsidR="00B95202" w:rsidRPr="00266BB8">
          <w:rPr>
            <w:rStyle w:val="Hyperlink"/>
            <w:noProof/>
          </w:rPr>
          <w:t>2.3.3</w:t>
        </w:r>
        <w:r w:rsidR="00B95202">
          <w:rPr>
            <w:rFonts w:eastAsiaTheme="minorEastAsia" w:cstheme="minorBidi"/>
            <w:i w:val="0"/>
            <w:iCs w:val="0"/>
            <w:noProof/>
            <w:sz w:val="22"/>
            <w:szCs w:val="22"/>
            <w:lang w:eastAsia="en-GB" w:bidi="ar-SA"/>
          </w:rPr>
          <w:tab/>
        </w:r>
        <w:r w:rsidR="00B95202" w:rsidRPr="00266BB8">
          <w:rPr>
            <w:rStyle w:val="Hyperlink"/>
            <w:noProof/>
          </w:rPr>
          <w:t>Labelling of irradiated food</w:t>
        </w:r>
        <w:r w:rsidR="00B95202">
          <w:rPr>
            <w:noProof/>
            <w:webHidden/>
          </w:rPr>
          <w:tab/>
        </w:r>
        <w:r w:rsidR="00B95202">
          <w:rPr>
            <w:noProof/>
            <w:webHidden/>
          </w:rPr>
          <w:fldChar w:fldCharType="begin"/>
        </w:r>
        <w:r w:rsidR="00B95202">
          <w:rPr>
            <w:noProof/>
            <w:webHidden/>
          </w:rPr>
          <w:instrText xml:space="preserve"> PAGEREF _Toc19270497 \h </w:instrText>
        </w:r>
        <w:r w:rsidR="00B95202">
          <w:rPr>
            <w:noProof/>
            <w:webHidden/>
          </w:rPr>
        </w:r>
        <w:r w:rsidR="00B95202">
          <w:rPr>
            <w:noProof/>
            <w:webHidden/>
          </w:rPr>
          <w:fldChar w:fldCharType="separate"/>
        </w:r>
        <w:r w:rsidR="00B95202">
          <w:rPr>
            <w:noProof/>
            <w:webHidden/>
          </w:rPr>
          <w:t>13</w:t>
        </w:r>
        <w:r w:rsidR="00B95202">
          <w:rPr>
            <w:noProof/>
            <w:webHidden/>
          </w:rPr>
          <w:fldChar w:fldCharType="end"/>
        </w:r>
      </w:hyperlink>
    </w:p>
    <w:p w14:paraId="22A50AE6" w14:textId="020B77AD"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498" w:history="1">
        <w:r w:rsidR="00B95202" w:rsidRPr="00266BB8">
          <w:rPr>
            <w:rStyle w:val="Hyperlink"/>
            <w:noProof/>
          </w:rPr>
          <w:t>2.4</w:t>
        </w:r>
        <w:r w:rsidR="00B95202">
          <w:rPr>
            <w:rFonts w:eastAsiaTheme="minorEastAsia" w:cstheme="minorBidi"/>
            <w:smallCaps w:val="0"/>
            <w:noProof/>
            <w:sz w:val="22"/>
            <w:szCs w:val="22"/>
            <w:lang w:eastAsia="en-GB" w:bidi="ar-SA"/>
          </w:rPr>
          <w:tab/>
        </w:r>
        <w:r w:rsidR="00B95202" w:rsidRPr="00266BB8">
          <w:rPr>
            <w:rStyle w:val="Hyperlink"/>
            <w:noProof/>
          </w:rPr>
          <w:t>Risk communication</w:t>
        </w:r>
        <w:r w:rsidR="00B95202">
          <w:rPr>
            <w:noProof/>
            <w:webHidden/>
          </w:rPr>
          <w:tab/>
        </w:r>
        <w:r w:rsidR="00B95202">
          <w:rPr>
            <w:noProof/>
            <w:webHidden/>
          </w:rPr>
          <w:fldChar w:fldCharType="begin"/>
        </w:r>
        <w:r w:rsidR="00B95202">
          <w:rPr>
            <w:noProof/>
            <w:webHidden/>
          </w:rPr>
          <w:instrText xml:space="preserve"> PAGEREF _Toc19270498 \h </w:instrText>
        </w:r>
        <w:r w:rsidR="00B95202">
          <w:rPr>
            <w:noProof/>
            <w:webHidden/>
          </w:rPr>
        </w:r>
        <w:r w:rsidR="00B95202">
          <w:rPr>
            <w:noProof/>
            <w:webHidden/>
          </w:rPr>
          <w:fldChar w:fldCharType="separate"/>
        </w:r>
        <w:r w:rsidR="00B95202">
          <w:rPr>
            <w:noProof/>
            <w:webHidden/>
          </w:rPr>
          <w:t>14</w:t>
        </w:r>
        <w:r w:rsidR="00B95202">
          <w:rPr>
            <w:noProof/>
            <w:webHidden/>
          </w:rPr>
          <w:fldChar w:fldCharType="end"/>
        </w:r>
      </w:hyperlink>
    </w:p>
    <w:p w14:paraId="309FD712" w14:textId="603E2D3C" w:rsidR="00B95202" w:rsidRDefault="003F3B48">
      <w:pPr>
        <w:pStyle w:val="TOC3"/>
        <w:tabs>
          <w:tab w:val="left" w:pos="1100"/>
          <w:tab w:val="right" w:leader="dot" w:pos="9060"/>
        </w:tabs>
        <w:rPr>
          <w:rFonts w:eastAsiaTheme="minorEastAsia" w:cstheme="minorBidi"/>
          <w:i w:val="0"/>
          <w:iCs w:val="0"/>
          <w:noProof/>
          <w:sz w:val="22"/>
          <w:szCs w:val="22"/>
          <w:lang w:eastAsia="en-GB" w:bidi="ar-SA"/>
        </w:rPr>
      </w:pPr>
      <w:hyperlink w:anchor="_Toc19270499" w:history="1">
        <w:r w:rsidR="00B95202" w:rsidRPr="00266BB8">
          <w:rPr>
            <w:rStyle w:val="Hyperlink"/>
            <w:rFonts w:cs="Arial"/>
            <w:noProof/>
          </w:rPr>
          <w:t>2.4.1</w:t>
        </w:r>
        <w:r w:rsidR="00B95202">
          <w:rPr>
            <w:rFonts w:eastAsiaTheme="minorEastAsia" w:cstheme="minorBidi"/>
            <w:i w:val="0"/>
            <w:iCs w:val="0"/>
            <w:noProof/>
            <w:sz w:val="22"/>
            <w:szCs w:val="22"/>
            <w:lang w:eastAsia="en-GB" w:bidi="ar-SA"/>
          </w:rPr>
          <w:tab/>
        </w:r>
        <w:r w:rsidR="00B95202" w:rsidRPr="00266BB8">
          <w:rPr>
            <w:rStyle w:val="Hyperlink"/>
            <w:rFonts w:cs="Arial"/>
            <w:noProof/>
          </w:rPr>
          <w:t>Consultation</w:t>
        </w:r>
        <w:r w:rsidR="00B95202">
          <w:rPr>
            <w:noProof/>
            <w:webHidden/>
          </w:rPr>
          <w:tab/>
        </w:r>
        <w:r w:rsidR="00B95202">
          <w:rPr>
            <w:noProof/>
            <w:webHidden/>
          </w:rPr>
          <w:fldChar w:fldCharType="begin"/>
        </w:r>
        <w:r w:rsidR="00B95202">
          <w:rPr>
            <w:noProof/>
            <w:webHidden/>
          </w:rPr>
          <w:instrText xml:space="preserve"> PAGEREF _Toc19270499 \h </w:instrText>
        </w:r>
        <w:r w:rsidR="00B95202">
          <w:rPr>
            <w:noProof/>
            <w:webHidden/>
          </w:rPr>
        </w:r>
        <w:r w:rsidR="00B95202">
          <w:rPr>
            <w:noProof/>
            <w:webHidden/>
          </w:rPr>
          <w:fldChar w:fldCharType="separate"/>
        </w:r>
        <w:r w:rsidR="00B95202">
          <w:rPr>
            <w:noProof/>
            <w:webHidden/>
          </w:rPr>
          <w:t>14</w:t>
        </w:r>
        <w:r w:rsidR="00B95202">
          <w:rPr>
            <w:noProof/>
            <w:webHidden/>
          </w:rPr>
          <w:fldChar w:fldCharType="end"/>
        </w:r>
      </w:hyperlink>
    </w:p>
    <w:p w14:paraId="7F0AAC3F" w14:textId="191F5269" w:rsidR="00B95202" w:rsidRDefault="003F3B48">
      <w:pPr>
        <w:pStyle w:val="TOC2"/>
        <w:tabs>
          <w:tab w:val="left" w:pos="880"/>
          <w:tab w:val="right" w:leader="dot" w:pos="9060"/>
        </w:tabs>
        <w:rPr>
          <w:rFonts w:eastAsiaTheme="minorEastAsia" w:cstheme="minorBidi"/>
          <w:smallCaps w:val="0"/>
          <w:noProof/>
          <w:sz w:val="22"/>
          <w:szCs w:val="22"/>
          <w:lang w:eastAsia="en-GB" w:bidi="ar-SA"/>
        </w:rPr>
      </w:pPr>
      <w:hyperlink w:anchor="_Toc19270500" w:history="1">
        <w:r w:rsidR="00B95202" w:rsidRPr="00266BB8">
          <w:rPr>
            <w:rStyle w:val="Hyperlink"/>
            <w:noProof/>
          </w:rPr>
          <w:t>2.5</w:t>
        </w:r>
        <w:r w:rsidR="00B95202">
          <w:rPr>
            <w:rFonts w:eastAsiaTheme="minorEastAsia" w:cstheme="minorBidi"/>
            <w:smallCaps w:val="0"/>
            <w:noProof/>
            <w:sz w:val="22"/>
            <w:szCs w:val="22"/>
            <w:lang w:eastAsia="en-GB" w:bidi="ar-SA"/>
          </w:rPr>
          <w:tab/>
        </w:r>
        <w:r w:rsidR="00B95202" w:rsidRPr="00266BB8">
          <w:rPr>
            <w:rStyle w:val="Hyperlink"/>
            <w:noProof/>
          </w:rPr>
          <w:t>FSANZ Act assessment requirements</w:t>
        </w:r>
        <w:r w:rsidR="00B95202">
          <w:rPr>
            <w:noProof/>
            <w:webHidden/>
          </w:rPr>
          <w:tab/>
        </w:r>
        <w:r w:rsidR="00B95202">
          <w:rPr>
            <w:noProof/>
            <w:webHidden/>
          </w:rPr>
          <w:fldChar w:fldCharType="begin"/>
        </w:r>
        <w:r w:rsidR="00B95202">
          <w:rPr>
            <w:noProof/>
            <w:webHidden/>
          </w:rPr>
          <w:instrText xml:space="preserve"> PAGEREF _Toc19270500 \h </w:instrText>
        </w:r>
        <w:r w:rsidR="00B95202">
          <w:rPr>
            <w:noProof/>
            <w:webHidden/>
          </w:rPr>
        </w:r>
        <w:r w:rsidR="00B95202">
          <w:rPr>
            <w:noProof/>
            <w:webHidden/>
          </w:rPr>
          <w:fldChar w:fldCharType="separate"/>
        </w:r>
        <w:r w:rsidR="00B95202">
          <w:rPr>
            <w:noProof/>
            <w:webHidden/>
          </w:rPr>
          <w:t>14</w:t>
        </w:r>
        <w:r w:rsidR="00B95202">
          <w:rPr>
            <w:noProof/>
            <w:webHidden/>
          </w:rPr>
          <w:fldChar w:fldCharType="end"/>
        </w:r>
      </w:hyperlink>
    </w:p>
    <w:p w14:paraId="577EDD81" w14:textId="73929D05" w:rsidR="00B95202" w:rsidRDefault="003F3B48">
      <w:pPr>
        <w:pStyle w:val="TOC3"/>
        <w:tabs>
          <w:tab w:val="left" w:pos="1100"/>
          <w:tab w:val="right" w:leader="dot" w:pos="9060"/>
        </w:tabs>
        <w:rPr>
          <w:rFonts w:eastAsiaTheme="minorEastAsia" w:cstheme="minorBidi"/>
          <w:i w:val="0"/>
          <w:iCs w:val="0"/>
          <w:noProof/>
          <w:sz w:val="22"/>
          <w:szCs w:val="22"/>
          <w:lang w:eastAsia="en-GB" w:bidi="ar-SA"/>
        </w:rPr>
      </w:pPr>
      <w:hyperlink w:anchor="_Toc19270501" w:history="1">
        <w:r w:rsidR="00B95202" w:rsidRPr="00266BB8">
          <w:rPr>
            <w:rStyle w:val="Hyperlink"/>
            <w:noProof/>
          </w:rPr>
          <w:t>2.5.1</w:t>
        </w:r>
        <w:r w:rsidR="00B95202">
          <w:rPr>
            <w:rFonts w:eastAsiaTheme="minorEastAsia" w:cstheme="minorBidi"/>
            <w:i w:val="0"/>
            <w:iCs w:val="0"/>
            <w:noProof/>
            <w:sz w:val="22"/>
            <w:szCs w:val="22"/>
            <w:lang w:eastAsia="en-GB" w:bidi="ar-SA"/>
          </w:rPr>
          <w:tab/>
        </w:r>
        <w:r w:rsidR="00B95202" w:rsidRPr="00266BB8">
          <w:rPr>
            <w:rStyle w:val="Hyperlink"/>
            <w:noProof/>
          </w:rPr>
          <w:t xml:space="preserve">Section </w:t>
        </w:r>
        <w:r w:rsidR="00B95202" w:rsidRPr="00266BB8">
          <w:rPr>
            <w:rStyle w:val="Hyperlink"/>
            <w:rFonts w:cs="Arial"/>
            <w:noProof/>
          </w:rPr>
          <w:t>29</w:t>
        </w:r>
        <w:r w:rsidR="00B95202">
          <w:rPr>
            <w:noProof/>
            <w:webHidden/>
          </w:rPr>
          <w:tab/>
        </w:r>
        <w:r w:rsidR="00B95202">
          <w:rPr>
            <w:noProof/>
            <w:webHidden/>
          </w:rPr>
          <w:fldChar w:fldCharType="begin"/>
        </w:r>
        <w:r w:rsidR="00B95202">
          <w:rPr>
            <w:noProof/>
            <w:webHidden/>
          </w:rPr>
          <w:instrText xml:space="preserve"> PAGEREF _Toc19270501 \h </w:instrText>
        </w:r>
        <w:r w:rsidR="00B95202">
          <w:rPr>
            <w:noProof/>
            <w:webHidden/>
          </w:rPr>
        </w:r>
        <w:r w:rsidR="00B95202">
          <w:rPr>
            <w:noProof/>
            <w:webHidden/>
          </w:rPr>
          <w:fldChar w:fldCharType="separate"/>
        </w:r>
        <w:r w:rsidR="00B95202">
          <w:rPr>
            <w:noProof/>
            <w:webHidden/>
          </w:rPr>
          <w:t>14</w:t>
        </w:r>
        <w:r w:rsidR="00B95202">
          <w:rPr>
            <w:noProof/>
            <w:webHidden/>
          </w:rPr>
          <w:fldChar w:fldCharType="end"/>
        </w:r>
      </w:hyperlink>
    </w:p>
    <w:p w14:paraId="39047801" w14:textId="2AF63920" w:rsidR="00B95202" w:rsidRDefault="003F3B48">
      <w:pPr>
        <w:pStyle w:val="TOC3"/>
        <w:tabs>
          <w:tab w:val="left" w:pos="1320"/>
          <w:tab w:val="right" w:leader="dot" w:pos="9060"/>
        </w:tabs>
        <w:rPr>
          <w:rFonts w:eastAsiaTheme="minorEastAsia" w:cstheme="minorBidi"/>
          <w:i w:val="0"/>
          <w:iCs w:val="0"/>
          <w:noProof/>
          <w:sz w:val="22"/>
          <w:szCs w:val="22"/>
          <w:lang w:eastAsia="en-GB" w:bidi="ar-SA"/>
        </w:rPr>
      </w:pPr>
      <w:hyperlink w:anchor="_Toc19270502" w:history="1">
        <w:r w:rsidR="00B95202" w:rsidRPr="00266BB8">
          <w:rPr>
            <w:rStyle w:val="Hyperlink"/>
            <w:noProof/>
          </w:rPr>
          <w:t>2.5.2.</w:t>
        </w:r>
        <w:r w:rsidR="00B95202">
          <w:rPr>
            <w:rFonts w:eastAsiaTheme="minorEastAsia" w:cstheme="minorBidi"/>
            <w:i w:val="0"/>
            <w:iCs w:val="0"/>
            <w:noProof/>
            <w:sz w:val="22"/>
            <w:szCs w:val="22"/>
            <w:lang w:eastAsia="en-GB" w:bidi="ar-SA"/>
          </w:rPr>
          <w:tab/>
        </w:r>
        <w:r w:rsidR="00B95202" w:rsidRPr="00266BB8">
          <w:rPr>
            <w:rStyle w:val="Hyperlink"/>
            <w:noProof/>
          </w:rPr>
          <w:t>Subsection 18(1)</w:t>
        </w:r>
        <w:r w:rsidR="00B95202">
          <w:rPr>
            <w:noProof/>
            <w:webHidden/>
          </w:rPr>
          <w:tab/>
        </w:r>
        <w:r w:rsidR="00B95202">
          <w:rPr>
            <w:noProof/>
            <w:webHidden/>
          </w:rPr>
          <w:fldChar w:fldCharType="begin"/>
        </w:r>
        <w:r w:rsidR="00B95202">
          <w:rPr>
            <w:noProof/>
            <w:webHidden/>
          </w:rPr>
          <w:instrText xml:space="preserve"> PAGEREF _Toc19270502 \h </w:instrText>
        </w:r>
        <w:r w:rsidR="00B95202">
          <w:rPr>
            <w:noProof/>
            <w:webHidden/>
          </w:rPr>
        </w:r>
        <w:r w:rsidR="00B95202">
          <w:rPr>
            <w:noProof/>
            <w:webHidden/>
          </w:rPr>
          <w:fldChar w:fldCharType="separate"/>
        </w:r>
        <w:r w:rsidR="00B95202">
          <w:rPr>
            <w:noProof/>
            <w:webHidden/>
          </w:rPr>
          <w:t>16</w:t>
        </w:r>
        <w:r w:rsidR="00B95202">
          <w:rPr>
            <w:noProof/>
            <w:webHidden/>
          </w:rPr>
          <w:fldChar w:fldCharType="end"/>
        </w:r>
      </w:hyperlink>
    </w:p>
    <w:p w14:paraId="7B7C858B" w14:textId="38D94671" w:rsidR="00B95202" w:rsidRDefault="003F3B48">
      <w:pPr>
        <w:pStyle w:val="TOC1"/>
        <w:tabs>
          <w:tab w:val="left" w:pos="440"/>
          <w:tab w:val="right" w:leader="dot" w:pos="9060"/>
        </w:tabs>
        <w:rPr>
          <w:rFonts w:eastAsiaTheme="minorEastAsia" w:cstheme="minorBidi"/>
          <w:b w:val="0"/>
          <w:bCs w:val="0"/>
          <w:caps w:val="0"/>
          <w:noProof/>
          <w:sz w:val="22"/>
          <w:szCs w:val="22"/>
          <w:lang w:eastAsia="en-GB" w:bidi="ar-SA"/>
        </w:rPr>
      </w:pPr>
      <w:hyperlink w:anchor="_Toc19270503" w:history="1">
        <w:r w:rsidR="00B95202" w:rsidRPr="00266BB8">
          <w:rPr>
            <w:rStyle w:val="Hyperlink"/>
            <w:rFonts w:ascii="Arial Bold" w:hAnsi="Arial Bold"/>
            <w:noProof/>
          </w:rPr>
          <w:t>3</w:t>
        </w:r>
        <w:r w:rsidR="00B95202">
          <w:rPr>
            <w:rFonts w:eastAsiaTheme="minorEastAsia" w:cstheme="minorBidi"/>
            <w:b w:val="0"/>
            <w:bCs w:val="0"/>
            <w:caps w:val="0"/>
            <w:noProof/>
            <w:sz w:val="22"/>
            <w:szCs w:val="22"/>
            <w:lang w:eastAsia="en-GB" w:bidi="ar-SA"/>
          </w:rPr>
          <w:tab/>
        </w:r>
        <w:r w:rsidR="00B95202" w:rsidRPr="00266BB8">
          <w:rPr>
            <w:rStyle w:val="Hyperlink"/>
            <w:rFonts w:ascii="Arial Bold" w:hAnsi="Arial Bold"/>
            <w:noProof/>
          </w:rPr>
          <w:t>References</w:t>
        </w:r>
        <w:r w:rsidR="00B95202">
          <w:rPr>
            <w:noProof/>
            <w:webHidden/>
          </w:rPr>
          <w:tab/>
        </w:r>
        <w:r w:rsidR="00B95202">
          <w:rPr>
            <w:noProof/>
            <w:webHidden/>
          </w:rPr>
          <w:fldChar w:fldCharType="begin"/>
        </w:r>
        <w:r w:rsidR="00B95202">
          <w:rPr>
            <w:noProof/>
            <w:webHidden/>
          </w:rPr>
          <w:instrText xml:space="preserve"> PAGEREF _Toc19270503 \h </w:instrText>
        </w:r>
        <w:r w:rsidR="00B95202">
          <w:rPr>
            <w:noProof/>
            <w:webHidden/>
          </w:rPr>
        </w:r>
        <w:r w:rsidR="00B95202">
          <w:rPr>
            <w:noProof/>
            <w:webHidden/>
          </w:rPr>
          <w:fldChar w:fldCharType="separate"/>
        </w:r>
        <w:r w:rsidR="00B95202">
          <w:rPr>
            <w:noProof/>
            <w:webHidden/>
          </w:rPr>
          <w:t>17</w:t>
        </w:r>
        <w:r w:rsidR="00B95202">
          <w:rPr>
            <w:noProof/>
            <w:webHidden/>
          </w:rPr>
          <w:fldChar w:fldCharType="end"/>
        </w:r>
      </w:hyperlink>
    </w:p>
    <w:p w14:paraId="731C14C3" w14:textId="0818ABA4" w:rsidR="00B95202" w:rsidRDefault="003F3B48">
      <w:pPr>
        <w:pStyle w:val="TOC2"/>
        <w:tabs>
          <w:tab w:val="right" w:leader="dot" w:pos="9060"/>
        </w:tabs>
        <w:rPr>
          <w:rFonts w:eastAsiaTheme="minorEastAsia" w:cstheme="minorBidi"/>
          <w:smallCaps w:val="0"/>
          <w:noProof/>
          <w:sz w:val="22"/>
          <w:szCs w:val="22"/>
          <w:lang w:eastAsia="en-GB" w:bidi="ar-SA"/>
        </w:rPr>
      </w:pPr>
      <w:hyperlink w:anchor="_Toc19270504" w:history="1">
        <w:r w:rsidR="00B95202" w:rsidRPr="00266BB8">
          <w:rPr>
            <w:rStyle w:val="Hyperlink"/>
            <w:noProof/>
          </w:rPr>
          <w:t xml:space="preserve">Attachment A – Approved draft variation to the </w:t>
        </w:r>
        <w:r w:rsidR="00B95202" w:rsidRPr="00266BB8">
          <w:rPr>
            <w:rStyle w:val="Hyperlink"/>
            <w:i/>
            <w:noProof/>
          </w:rPr>
          <w:t>Australia New Zealand Food Standards Code</w:t>
        </w:r>
        <w:r w:rsidR="00B95202">
          <w:rPr>
            <w:noProof/>
            <w:webHidden/>
          </w:rPr>
          <w:tab/>
        </w:r>
        <w:r w:rsidR="00B95202">
          <w:rPr>
            <w:noProof/>
            <w:webHidden/>
          </w:rPr>
          <w:fldChar w:fldCharType="begin"/>
        </w:r>
        <w:r w:rsidR="00B95202">
          <w:rPr>
            <w:noProof/>
            <w:webHidden/>
          </w:rPr>
          <w:instrText xml:space="preserve"> PAGEREF _Toc19270504 \h </w:instrText>
        </w:r>
        <w:r w:rsidR="00B95202">
          <w:rPr>
            <w:noProof/>
            <w:webHidden/>
          </w:rPr>
        </w:r>
        <w:r w:rsidR="00B95202">
          <w:rPr>
            <w:noProof/>
            <w:webHidden/>
          </w:rPr>
          <w:fldChar w:fldCharType="separate"/>
        </w:r>
        <w:r w:rsidR="00B95202">
          <w:rPr>
            <w:noProof/>
            <w:webHidden/>
          </w:rPr>
          <w:t>18</w:t>
        </w:r>
        <w:r w:rsidR="00B95202">
          <w:rPr>
            <w:noProof/>
            <w:webHidden/>
          </w:rPr>
          <w:fldChar w:fldCharType="end"/>
        </w:r>
      </w:hyperlink>
    </w:p>
    <w:p w14:paraId="17557301" w14:textId="509108A1" w:rsidR="00B95202" w:rsidRDefault="003F3B48">
      <w:pPr>
        <w:pStyle w:val="TOC2"/>
        <w:tabs>
          <w:tab w:val="right" w:leader="dot" w:pos="9060"/>
        </w:tabs>
        <w:rPr>
          <w:rFonts w:eastAsiaTheme="minorEastAsia" w:cstheme="minorBidi"/>
          <w:smallCaps w:val="0"/>
          <w:noProof/>
          <w:sz w:val="22"/>
          <w:szCs w:val="22"/>
          <w:lang w:eastAsia="en-GB" w:bidi="ar-SA"/>
        </w:rPr>
      </w:pPr>
      <w:hyperlink w:anchor="_Toc19270505" w:history="1">
        <w:r w:rsidR="00B95202" w:rsidRPr="00266BB8">
          <w:rPr>
            <w:rStyle w:val="Hyperlink"/>
            <w:noProof/>
          </w:rPr>
          <w:t>Attachment B – Explanatory Statement</w:t>
        </w:r>
        <w:r w:rsidR="00B95202">
          <w:rPr>
            <w:noProof/>
            <w:webHidden/>
          </w:rPr>
          <w:tab/>
        </w:r>
        <w:r w:rsidR="00B95202">
          <w:rPr>
            <w:noProof/>
            <w:webHidden/>
          </w:rPr>
          <w:fldChar w:fldCharType="begin"/>
        </w:r>
        <w:r w:rsidR="00B95202">
          <w:rPr>
            <w:noProof/>
            <w:webHidden/>
          </w:rPr>
          <w:instrText xml:space="preserve"> PAGEREF _Toc19270505 \h </w:instrText>
        </w:r>
        <w:r w:rsidR="00B95202">
          <w:rPr>
            <w:noProof/>
            <w:webHidden/>
          </w:rPr>
        </w:r>
        <w:r w:rsidR="00B95202">
          <w:rPr>
            <w:noProof/>
            <w:webHidden/>
          </w:rPr>
          <w:fldChar w:fldCharType="separate"/>
        </w:r>
        <w:r w:rsidR="00B95202">
          <w:rPr>
            <w:noProof/>
            <w:webHidden/>
          </w:rPr>
          <w:t>20</w:t>
        </w:r>
        <w:r w:rsidR="00B95202">
          <w:rPr>
            <w:noProof/>
            <w:webHidden/>
          </w:rPr>
          <w:fldChar w:fldCharType="end"/>
        </w:r>
      </w:hyperlink>
    </w:p>
    <w:p w14:paraId="6B6DC5D3" w14:textId="45B6EE76" w:rsidR="0012388D" w:rsidRDefault="00B55714" w:rsidP="00C91C02">
      <w:r w:rsidRPr="00346622">
        <w:rPr>
          <w:rFonts w:cs="Arial"/>
          <w:sz w:val="20"/>
          <w:szCs w:val="20"/>
        </w:rPr>
        <w:fldChar w:fldCharType="end"/>
      </w:r>
    </w:p>
    <w:p w14:paraId="6D4B2776" w14:textId="77777777" w:rsidR="007F7BF7" w:rsidRDefault="007F7BF7" w:rsidP="00CA5734"/>
    <w:p w14:paraId="7735C4C9" w14:textId="33105F08"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86F7600" w14:textId="730953B7" w:rsidR="007A53BF" w:rsidRPr="00370A0F" w:rsidRDefault="007A53BF" w:rsidP="007A53BF">
      <w:pPr>
        <w:rPr>
          <w:szCs w:val="22"/>
        </w:rPr>
      </w:pPr>
      <w:r w:rsidRPr="00370A0F">
        <w:rPr>
          <w:szCs w:val="22"/>
        </w:rPr>
        <w:t xml:space="preserve">The </w:t>
      </w:r>
      <w:hyperlink r:id="rId21" w:history="1">
        <w:r w:rsidR="009919C3">
          <w:rPr>
            <w:rStyle w:val="Hyperlink"/>
            <w:szCs w:val="22"/>
          </w:rPr>
          <w:t>following document</w:t>
        </w:r>
      </w:hyperlink>
      <w:r w:rsidR="009919C3" w:rsidRPr="00882735">
        <w:rPr>
          <w:rStyle w:val="FootnoteReference"/>
          <w:szCs w:val="22"/>
        </w:rPr>
        <w:footnoteReference w:id="2"/>
      </w:r>
      <w:r w:rsidR="009919C3" w:rsidRPr="00882735">
        <w:rPr>
          <w:szCs w:val="22"/>
        </w:rPr>
        <w:t xml:space="preserve"> </w:t>
      </w:r>
      <w:r w:rsidRPr="00370A0F">
        <w:rPr>
          <w:szCs w:val="22"/>
        </w:rPr>
        <w:t xml:space="preserve">which </w:t>
      </w:r>
      <w:r w:rsidR="00A04F83">
        <w:rPr>
          <w:szCs w:val="22"/>
        </w:rPr>
        <w:t xml:space="preserve">provides more detailed information on section 1.4 of this </w:t>
      </w:r>
      <w:r w:rsidR="001655AA" w:rsidRPr="00370A0F">
        <w:rPr>
          <w:szCs w:val="22"/>
        </w:rPr>
        <w:t>Application is</w:t>
      </w:r>
      <w:r w:rsidRPr="00370A0F">
        <w:rPr>
          <w:szCs w:val="22"/>
        </w:rPr>
        <w:t xml:space="preserve"> available on the FSANZ website</w:t>
      </w:r>
      <w:r w:rsidR="00FF3E26" w:rsidRPr="00370A0F">
        <w:rPr>
          <w:szCs w:val="22"/>
        </w:rPr>
        <w:t>:</w:t>
      </w:r>
    </w:p>
    <w:p w14:paraId="170EDE21" w14:textId="77777777" w:rsidR="007A53BF" w:rsidRPr="00370A0F" w:rsidRDefault="007A53BF" w:rsidP="007A53BF">
      <w:pPr>
        <w:rPr>
          <w:szCs w:val="22"/>
        </w:rPr>
      </w:pPr>
    </w:p>
    <w:p w14:paraId="4912FDD0" w14:textId="012208E2" w:rsidR="003C4969" w:rsidRPr="001655AA" w:rsidRDefault="007A53BF" w:rsidP="001655AA">
      <w:pPr>
        <w:ind w:left="1134" w:hanging="1134"/>
        <w:rPr>
          <w:color w:val="FF0000"/>
        </w:rPr>
      </w:pPr>
      <w:r w:rsidRPr="00370A0F">
        <w:t>SD1</w:t>
      </w:r>
      <w:r w:rsidRPr="00370A0F">
        <w:tab/>
      </w:r>
      <w:r w:rsidR="001655AA" w:rsidRPr="00370A0F">
        <w:t>International approaches to irradiation of herbs and spices and definitions in Codex texts</w:t>
      </w:r>
      <w:r w:rsidR="00D15A08"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19270478"/>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1549F52C" w14:textId="49FA0473" w:rsidR="00896402" w:rsidRPr="001C0CCC" w:rsidRDefault="00896402" w:rsidP="00896402">
      <w:pPr>
        <w:rPr>
          <w:szCs w:val="22"/>
        </w:rPr>
      </w:pPr>
      <w:r w:rsidRPr="00256DD5">
        <w:rPr>
          <w:lang w:bidi="ar-SA"/>
        </w:rPr>
        <w:t xml:space="preserve">Sapro </w:t>
      </w:r>
      <w:r w:rsidRPr="00EA21A7">
        <w:rPr>
          <w:szCs w:val="22"/>
          <w:lang w:bidi="ar-SA"/>
        </w:rPr>
        <w:t xml:space="preserve">Australia </w:t>
      </w:r>
      <w:r w:rsidR="00A97DB9">
        <w:rPr>
          <w:szCs w:val="22"/>
          <w:lang w:bidi="ar-SA"/>
        </w:rPr>
        <w:t xml:space="preserve">submitted an application </w:t>
      </w:r>
      <w:r>
        <w:rPr>
          <w:szCs w:val="22"/>
          <w:lang w:bidi="ar-SA"/>
        </w:rPr>
        <w:t xml:space="preserve">to change the Australia New Zealand Food Standards Code (the Code). </w:t>
      </w:r>
      <w:r w:rsidRPr="0099797C">
        <w:rPr>
          <w:szCs w:val="22"/>
          <w:lang w:bidi="ar-SA"/>
        </w:rPr>
        <w:t xml:space="preserve">Sapro </w:t>
      </w:r>
      <w:r w:rsidR="00A97DB9" w:rsidRPr="0099797C">
        <w:rPr>
          <w:szCs w:val="22"/>
          <w:lang w:bidi="ar-SA"/>
        </w:rPr>
        <w:t>request</w:t>
      </w:r>
      <w:r w:rsidR="00A97DB9">
        <w:rPr>
          <w:szCs w:val="22"/>
          <w:lang w:bidi="ar-SA"/>
        </w:rPr>
        <w:t>ed</w:t>
      </w:r>
      <w:r w:rsidR="00A97DB9" w:rsidRPr="0099797C">
        <w:rPr>
          <w:szCs w:val="22"/>
          <w:lang w:bidi="ar-SA"/>
        </w:rPr>
        <w:t xml:space="preserve"> </w:t>
      </w:r>
      <w:r w:rsidRPr="0099797C">
        <w:rPr>
          <w:szCs w:val="22"/>
          <w:lang w:bidi="ar-SA"/>
        </w:rPr>
        <w:t xml:space="preserve">clarification </w:t>
      </w:r>
      <w:r>
        <w:rPr>
          <w:szCs w:val="22"/>
          <w:lang w:bidi="ar-SA"/>
        </w:rPr>
        <w:t>of</w:t>
      </w:r>
      <w:r w:rsidRPr="00EA21A7">
        <w:rPr>
          <w:szCs w:val="22"/>
        </w:rPr>
        <w:t xml:space="preserve"> the meaning of the terms herbs and spices </w:t>
      </w:r>
      <w:r>
        <w:rPr>
          <w:szCs w:val="22"/>
        </w:rPr>
        <w:t xml:space="preserve">in Standard 1.5.3, </w:t>
      </w:r>
      <w:r w:rsidRPr="00EA21A7">
        <w:rPr>
          <w:szCs w:val="22"/>
        </w:rPr>
        <w:t>in order to ensure uniform interpretation and enforcement.</w:t>
      </w:r>
      <w:r>
        <w:rPr>
          <w:szCs w:val="22"/>
        </w:rPr>
        <w:t xml:space="preserve"> The applicant </w:t>
      </w:r>
      <w:r w:rsidR="00A97DB9" w:rsidRPr="001C0CCC">
        <w:rPr>
          <w:szCs w:val="22"/>
        </w:rPr>
        <w:t>propose</w:t>
      </w:r>
      <w:r w:rsidR="00A97DB9">
        <w:rPr>
          <w:szCs w:val="22"/>
        </w:rPr>
        <w:t>d</w:t>
      </w:r>
      <w:r w:rsidR="00A97DB9" w:rsidRPr="001C0CCC">
        <w:rPr>
          <w:szCs w:val="22"/>
        </w:rPr>
        <w:t xml:space="preserve"> </w:t>
      </w:r>
      <w:r w:rsidRPr="001C0CCC">
        <w:rPr>
          <w:szCs w:val="22"/>
        </w:rPr>
        <w:t xml:space="preserve">that the current description of herbs and spices in Standard 1.5.3 be replaced either by </w:t>
      </w:r>
      <w:r>
        <w:rPr>
          <w:szCs w:val="22"/>
        </w:rPr>
        <w:t>the</w:t>
      </w:r>
      <w:r w:rsidRPr="001C0CCC">
        <w:rPr>
          <w:szCs w:val="22"/>
        </w:rPr>
        <w:t xml:space="preserve"> commonly understood meaning of herbs and spices or by including generic definitions of herbs and spices.</w:t>
      </w:r>
    </w:p>
    <w:p w14:paraId="514F6795" w14:textId="77777777" w:rsidR="00896402" w:rsidRPr="001C0CCC" w:rsidRDefault="00896402" w:rsidP="00896402">
      <w:pPr>
        <w:rPr>
          <w:szCs w:val="22"/>
        </w:rPr>
      </w:pPr>
    </w:p>
    <w:p w14:paraId="6E45ADB8" w14:textId="7C8B63D2" w:rsidR="00896402" w:rsidRPr="001C0CCC" w:rsidRDefault="0029233B" w:rsidP="00896402">
      <w:pPr>
        <w:rPr>
          <w:rFonts w:cs="Arial"/>
          <w:szCs w:val="22"/>
          <w:lang w:eastAsia="en-GB" w:bidi="he-IL"/>
        </w:rPr>
      </w:pPr>
      <w:r>
        <w:rPr>
          <w:rFonts w:cs="Arial"/>
          <w:szCs w:val="22"/>
          <w:lang w:eastAsia="en-GB" w:bidi="he-IL"/>
        </w:rPr>
        <w:t xml:space="preserve">Herbs and spices may </w:t>
      </w:r>
      <w:r w:rsidR="00480311">
        <w:rPr>
          <w:rFonts w:cs="Arial"/>
          <w:szCs w:val="22"/>
          <w:lang w:eastAsia="en-GB" w:bidi="he-IL"/>
        </w:rPr>
        <w:t xml:space="preserve">only </w:t>
      </w:r>
      <w:r>
        <w:rPr>
          <w:rFonts w:cs="Arial"/>
          <w:szCs w:val="22"/>
          <w:lang w:eastAsia="en-GB" w:bidi="he-IL"/>
        </w:rPr>
        <w:t>be irradiated in accordance with se</w:t>
      </w:r>
      <w:r w:rsidRPr="001C0CCC">
        <w:rPr>
          <w:rFonts w:cs="Arial"/>
          <w:szCs w:val="22"/>
          <w:lang w:eastAsia="en-GB" w:bidi="he-IL"/>
        </w:rPr>
        <w:t xml:space="preserve">ction </w:t>
      </w:r>
      <w:r w:rsidR="00896402" w:rsidRPr="001C0CCC">
        <w:rPr>
          <w:rFonts w:cs="Arial"/>
          <w:szCs w:val="22"/>
          <w:lang w:eastAsia="en-GB" w:bidi="he-IL"/>
        </w:rPr>
        <w:t xml:space="preserve">1.5.3—4 of the Code. Subsection 1.5.3—4(3) </w:t>
      </w:r>
      <w:r w:rsidR="00896402">
        <w:rPr>
          <w:rFonts w:cs="Arial"/>
          <w:szCs w:val="22"/>
          <w:lang w:eastAsia="en-GB" w:bidi="he-IL"/>
        </w:rPr>
        <w:t xml:space="preserve">of the Code </w:t>
      </w:r>
      <w:r w:rsidR="00896402" w:rsidRPr="001C0CCC">
        <w:rPr>
          <w:rFonts w:cs="Arial"/>
          <w:szCs w:val="22"/>
          <w:lang w:eastAsia="en-GB" w:bidi="he-IL"/>
        </w:rPr>
        <w:t xml:space="preserve">defines what constitutes a herb or a spice for the purposes of </w:t>
      </w:r>
      <w:r>
        <w:rPr>
          <w:rFonts w:cs="Arial"/>
          <w:szCs w:val="22"/>
          <w:lang w:eastAsia="en-GB" w:bidi="he-IL"/>
        </w:rPr>
        <w:t>se</w:t>
      </w:r>
      <w:r w:rsidRPr="001C0CCC">
        <w:rPr>
          <w:rFonts w:cs="Arial"/>
          <w:szCs w:val="22"/>
          <w:lang w:eastAsia="en-GB" w:bidi="he-IL"/>
        </w:rPr>
        <w:t>ction 1.5.3—4</w:t>
      </w:r>
      <w:r w:rsidR="00896402" w:rsidRPr="001C0CCC">
        <w:rPr>
          <w:rFonts w:cs="Arial"/>
          <w:szCs w:val="22"/>
          <w:lang w:eastAsia="en-GB" w:bidi="he-IL"/>
        </w:rPr>
        <w:t>.</w:t>
      </w:r>
    </w:p>
    <w:p w14:paraId="02266FF2" w14:textId="77777777" w:rsidR="00896402" w:rsidRPr="001C0CCC" w:rsidRDefault="00896402" w:rsidP="00896402">
      <w:pPr>
        <w:rPr>
          <w:rFonts w:cs="Arial"/>
          <w:szCs w:val="22"/>
          <w:lang w:eastAsia="en-GB" w:bidi="he-IL"/>
        </w:rPr>
      </w:pPr>
    </w:p>
    <w:p w14:paraId="7F076206" w14:textId="348A0F4E" w:rsidR="00117642" w:rsidRDefault="00896402" w:rsidP="00896402">
      <w:r w:rsidRPr="001C0CCC">
        <w:rPr>
          <w:rFonts w:cs="Arial"/>
          <w:szCs w:val="22"/>
          <w:lang w:eastAsia="en-GB" w:bidi="he-IL"/>
        </w:rPr>
        <w:t>Section 1.5.</w:t>
      </w:r>
      <w:r>
        <w:rPr>
          <w:rFonts w:cs="Arial"/>
          <w:szCs w:val="22"/>
          <w:lang w:eastAsia="en-GB" w:bidi="he-IL"/>
        </w:rPr>
        <w:t>3</w:t>
      </w:r>
      <w:r w:rsidRPr="001C0CCC">
        <w:rPr>
          <w:rFonts w:cs="Arial"/>
          <w:szCs w:val="22"/>
          <w:lang w:eastAsia="en-GB" w:bidi="he-IL"/>
        </w:rPr>
        <w:t xml:space="preserve"> was inserted into the Code in 2001 following FSANZ’s assessment of </w:t>
      </w:r>
      <w:r>
        <w:rPr>
          <w:rFonts w:cs="Arial"/>
          <w:szCs w:val="22"/>
          <w:lang w:eastAsia="en-GB" w:bidi="he-IL"/>
        </w:rPr>
        <w:t>A</w:t>
      </w:r>
      <w:r w:rsidRPr="001C0CCC">
        <w:rPr>
          <w:lang w:bidi="ar-SA"/>
        </w:rPr>
        <w:t xml:space="preserve">pplication A413 </w:t>
      </w:r>
      <w:r w:rsidRPr="001C0CCC">
        <w:t>Irradiation of Herbs and Spices (ANZFA 2001).</w:t>
      </w:r>
      <w:r w:rsidR="00EA3F69">
        <w:t xml:space="preserve"> </w:t>
      </w:r>
      <w:r w:rsidRPr="001C0CCC">
        <w:t>That assessment included a risk assessment that had regard to the best available scientific evidence</w:t>
      </w:r>
      <w:r w:rsidR="00117642">
        <w:t xml:space="preserve"> and concluded there were no public health and safety issues following irradiation of herbs and spices</w:t>
      </w:r>
      <w:r w:rsidRPr="001C0CCC">
        <w:t xml:space="preserve">. </w:t>
      </w:r>
      <w:r>
        <w:t xml:space="preserve">That </w:t>
      </w:r>
      <w:r w:rsidR="00117642">
        <w:t>conclusion</w:t>
      </w:r>
      <w:r w:rsidR="005A39A3">
        <w:t xml:space="preserve"> on the safety of irradiated foods </w:t>
      </w:r>
      <w:r>
        <w:t>has been confirmed by assessments undertaken for subsequent applications to irradiate other foods</w:t>
      </w:r>
      <w:r w:rsidR="005A39A3">
        <w:t xml:space="preserve"> (e.g</w:t>
      </w:r>
      <w:r w:rsidR="00106F88">
        <w:t>.</w:t>
      </w:r>
      <w:r w:rsidR="005A39A3">
        <w:t xml:space="preserve"> specific fruits and vegetables)</w:t>
      </w:r>
      <w:r w:rsidR="00B429D7">
        <w:t>.</w:t>
      </w:r>
    </w:p>
    <w:p w14:paraId="627CD47A" w14:textId="77777777" w:rsidR="00B429D7" w:rsidRDefault="00B429D7" w:rsidP="00896402"/>
    <w:p w14:paraId="17A15362" w14:textId="726A9EAB" w:rsidR="00896402" w:rsidRPr="001C0CCC" w:rsidRDefault="00117642" w:rsidP="00896402">
      <w:r>
        <w:rPr>
          <w:rFonts w:cs="Arial"/>
        </w:rPr>
        <w:t>T</w:t>
      </w:r>
      <w:r w:rsidR="00896402" w:rsidRPr="001C0CCC">
        <w:rPr>
          <w:rFonts w:cs="Arial"/>
        </w:rPr>
        <w:t xml:space="preserve">he purpose of the requested amendment </w:t>
      </w:r>
      <w:r w:rsidR="00A71D29">
        <w:rPr>
          <w:rFonts w:cs="Arial"/>
        </w:rPr>
        <w:t>wa</w:t>
      </w:r>
      <w:r w:rsidR="00A71D29" w:rsidRPr="001C0CCC">
        <w:rPr>
          <w:rFonts w:cs="Arial"/>
        </w:rPr>
        <w:t xml:space="preserve">s </w:t>
      </w:r>
      <w:r w:rsidR="00896402" w:rsidRPr="001C0CCC">
        <w:rPr>
          <w:rFonts w:cs="Arial"/>
        </w:rPr>
        <w:t>to confirm the intended scope of th</w:t>
      </w:r>
      <w:r w:rsidR="00896402">
        <w:rPr>
          <w:rFonts w:cs="Arial"/>
        </w:rPr>
        <w:t>e 2001 permission</w:t>
      </w:r>
      <w:r w:rsidR="00896402" w:rsidRPr="001C0CCC">
        <w:t xml:space="preserve">. There </w:t>
      </w:r>
      <w:r w:rsidR="00A71D29">
        <w:t>were</w:t>
      </w:r>
      <w:r w:rsidR="00A71D29" w:rsidRPr="001C0CCC">
        <w:t xml:space="preserve"> </w:t>
      </w:r>
      <w:r w:rsidR="00896402" w:rsidRPr="001C0CCC">
        <w:t>no new issues for FSANZ to consider in relation to the public health and safety of irradiated herbs and spices.</w:t>
      </w:r>
    </w:p>
    <w:p w14:paraId="2308A07C" w14:textId="77777777" w:rsidR="00896402" w:rsidRPr="001C0CCC" w:rsidRDefault="00896402" w:rsidP="00896402"/>
    <w:p w14:paraId="1D018346" w14:textId="4F7C6FC2" w:rsidR="00896402" w:rsidRPr="001C0CCC" w:rsidRDefault="00896402" w:rsidP="00896402">
      <w:r w:rsidRPr="001C0CCC">
        <w:t>FSANZ’s assessment was that the requested variation will have no effect on the current Code requirement to declare the use of ion</w:t>
      </w:r>
      <w:r w:rsidR="00B429D7">
        <w:t>ising radiation on food labels.</w:t>
      </w:r>
    </w:p>
    <w:p w14:paraId="5E15E02E" w14:textId="401CB189" w:rsidR="00896402" w:rsidRPr="001C0CCC" w:rsidRDefault="00896402" w:rsidP="00896402"/>
    <w:p w14:paraId="0846370E" w14:textId="4DE47E41" w:rsidR="00896402" w:rsidRDefault="00896402" w:rsidP="00896402">
      <w:pPr>
        <w:widowControl/>
        <w:rPr>
          <w:rFonts w:cs="Arial"/>
          <w:szCs w:val="22"/>
          <w:lang w:eastAsia="en-GB" w:bidi="he-IL"/>
        </w:rPr>
      </w:pPr>
      <w:r w:rsidRPr="001C0CCC">
        <w:rPr>
          <w:szCs w:val="22"/>
        </w:rPr>
        <w:t xml:space="preserve">After assessing </w:t>
      </w:r>
      <w:r w:rsidRPr="001C0CCC">
        <w:t xml:space="preserve">A1163, </w:t>
      </w:r>
      <w:r w:rsidRPr="001C0CCC">
        <w:rPr>
          <w:szCs w:val="22"/>
        </w:rPr>
        <w:t xml:space="preserve">FSANZ prepared a draft variation to the Code </w:t>
      </w:r>
      <w:r w:rsidRPr="005E3BF9">
        <w:t xml:space="preserve">to amend subsection </w:t>
      </w:r>
      <w:r w:rsidRPr="001C0CCC">
        <w:rPr>
          <w:rFonts w:cs="Arial"/>
          <w:szCs w:val="22"/>
          <w:lang w:eastAsia="en-GB" w:bidi="he-IL"/>
        </w:rPr>
        <w:t xml:space="preserve">1.5.3—4(3). The amendment </w:t>
      </w:r>
      <w:r w:rsidR="00A71D29" w:rsidRPr="001C0CCC">
        <w:rPr>
          <w:rFonts w:cs="Arial"/>
          <w:szCs w:val="22"/>
          <w:lang w:eastAsia="en-GB" w:bidi="he-IL"/>
        </w:rPr>
        <w:t>provide</w:t>
      </w:r>
      <w:r w:rsidR="00A71D29">
        <w:rPr>
          <w:rFonts w:cs="Arial"/>
          <w:szCs w:val="22"/>
          <w:lang w:eastAsia="en-GB" w:bidi="he-IL"/>
        </w:rPr>
        <w:t>s</w:t>
      </w:r>
      <w:r w:rsidR="00A71D29" w:rsidRPr="001C0CCC">
        <w:rPr>
          <w:rFonts w:cs="Arial"/>
          <w:szCs w:val="22"/>
          <w:lang w:eastAsia="en-GB" w:bidi="he-IL"/>
        </w:rPr>
        <w:t xml:space="preserve"> that</w:t>
      </w:r>
      <w:r w:rsidRPr="001C0CCC">
        <w:rPr>
          <w:rFonts w:cs="Arial"/>
          <w:szCs w:val="22"/>
          <w:lang w:eastAsia="en-GB" w:bidi="he-IL"/>
        </w:rPr>
        <w:t xml:space="preserve"> </w:t>
      </w:r>
      <w:r w:rsidRPr="005E3BF9">
        <w:rPr>
          <w:bCs/>
          <w:iCs/>
        </w:rPr>
        <w:t>herbs and spices</w:t>
      </w:r>
      <w:r w:rsidRPr="001C0CCC">
        <w:rPr>
          <w:b/>
          <w:bCs/>
          <w:i/>
          <w:iCs/>
        </w:rPr>
        <w:t xml:space="preserve"> </w:t>
      </w:r>
      <w:r w:rsidRPr="005E3BF9">
        <w:t>includes (but is not limited to)</w:t>
      </w:r>
      <w:r w:rsidRPr="001C0CCC">
        <w:t xml:space="preserve"> a herb or a spice described in Schedule</w:t>
      </w:r>
      <w:r>
        <w:t xml:space="preserve"> </w:t>
      </w:r>
      <w:r w:rsidRPr="001C0CCC">
        <w:t xml:space="preserve">22 of the Code. </w:t>
      </w:r>
      <w:r>
        <w:t xml:space="preserve">The effect </w:t>
      </w:r>
      <w:r w:rsidR="00ED502F">
        <w:t>is</w:t>
      </w:r>
      <w:r>
        <w:t xml:space="preserve"> that</w:t>
      </w:r>
      <w:r w:rsidRPr="001C0CCC">
        <w:t xml:space="preserve"> any </w:t>
      </w:r>
      <w:r w:rsidRPr="001C0CCC">
        <w:rPr>
          <w:rFonts w:cs="Arial"/>
          <w:szCs w:val="22"/>
          <w:lang w:eastAsia="en-GB" w:bidi="he-IL"/>
        </w:rPr>
        <w:t xml:space="preserve">plant derived material </w:t>
      </w:r>
      <w:r w:rsidRPr="005E3BF9">
        <w:rPr>
          <w:rFonts w:cs="Arial"/>
          <w:lang w:val="en-AU"/>
        </w:rPr>
        <w:t xml:space="preserve">within the commonly accepted and ordinary meaning of ‘herb’ </w:t>
      </w:r>
      <w:r>
        <w:rPr>
          <w:rFonts w:cs="Arial"/>
          <w:lang w:val="en-AU"/>
        </w:rPr>
        <w:t>or</w:t>
      </w:r>
      <w:r w:rsidRPr="005E3BF9">
        <w:rPr>
          <w:rFonts w:cs="Arial"/>
          <w:lang w:val="en-AU"/>
        </w:rPr>
        <w:t xml:space="preserve"> ‘spice’, regardless of its form (dried or fresh) may be irradiated in accordance with </w:t>
      </w:r>
      <w:r w:rsidRPr="005E3BF9">
        <w:t>s</w:t>
      </w:r>
      <w:r w:rsidRPr="001C0CCC">
        <w:rPr>
          <w:rFonts w:cs="Arial"/>
          <w:szCs w:val="22"/>
          <w:lang w:eastAsia="en-GB" w:bidi="he-IL"/>
        </w:rPr>
        <w:t>ection 1.5.3—4 of the Code.</w:t>
      </w:r>
    </w:p>
    <w:p w14:paraId="41046E25" w14:textId="057E50FD" w:rsidR="00ED502F" w:rsidRDefault="00ED502F" w:rsidP="00896402">
      <w:pPr>
        <w:widowControl/>
        <w:rPr>
          <w:rFonts w:cs="Arial"/>
          <w:szCs w:val="22"/>
          <w:lang w:eastAsia="en-GB" w:bidi="he-IL"/>
        </w:rPr>
      </w:pPr>
    </w:p>
    <w:p w14:paraId="723A8EC8" w14:textId="156BEE1A" w:rsidR="00ED502F" w:rsidRDefault="00ED502F" w:rsidP="00ED502F">
      <w:pPr>
        <w:rPr>
          <w:rFonts w:cs="Arial"/>
        </w:rPr>
      </w:pPr>
      <w:r w:rsidRPr="0059305B">
        <w:rPr>
          <w:rFonts w:cs="Arial"/>
        </w:rPr>
        <w:t xml:space="preserve">A total of </w:t>
      </w:r>
      <w:r>
        <w:rPr>
          <w:rFonts w:cs="Arial"/>
        </w:rPr>
        <w:t>eight</w:t>
      </w:r>
      <w:r w:rsidRPr="0059305B">
        <w:rPr>
          <w:rFonts w:cs="Arial"/>
        </w:rPr>
        <w:t xml:space="preserve"> submissions were received </w:t>
      </w:r>
      <w:r w:rsidR="007A6690">
        <w:rPr>
          <w:rFonts w:cs="Arial"/>
        </w:rPr>
        <w:t>following</w:t>
      </w:r>
      <w:r w:rsidR="007A6690" w:rsidRPr="0059305B">
        <w:rPr>
          <w:rFonts w:cs="Arial"/>
        </w:rPr>
        <w:t xml:space="preserve"> </w:t>
      </w:r>
      <w:r w:rsidRPr="0059305B">
        <w:rPr>
          <w:rFonts w:cs="Arial"/>
        </w:rPr>
        <w:t xml:space="preserve">FSANZ’s </w:t>
      </w:r>
      <w:r w:rsidR="007A6690">
        <w:rPr>
          <w:rFonts w:cs="Arial"/>
        </w:rPr>
        <w:t>call for submissions</w:t>
      </w:r>
      <w:r w:rsidR="005E07A4">
        <w:rPr>
          <w:rFonts w:cs="Arial"/>
        </w:rPr>
        <w:t xml:space="preserve">. </w:t>
      </w:r>
      <w:r w:rsidR="00250BEF">
        <w:rPr>
          <w:lang w:bidi="ar-SA"/>
        </w:rPr>
        <w:t>Five submitters completely supported the draft variation. One submitter supported the draft variation on a limited basis. Two submitters</w:t>
      </w:r>
      <w:r w:rsidR="005E07A4">
        <w:rPr>
          <w:lang w:bidi="ar-SA"/>
        </w:rPr>
        <w:t xml:space="preserve"> </w:t>
      </w:r>
      <w:r w:rsidR="00A04F83">
        <w:rPr>
          <w:lang w:bidi="ar-SA"/>
        </w:rPr>
        <w:t xml:space="preserve">did not support the </w:t>
      </w:r>
      <w:r w:rsidR="00250BEF">
        <w:rPr>
          <w:lang w:bidi="ar-SA"/>
        </w:rPr>
        <w:t>draft variation</w:t>
      </w:r>
      <w:r w:rsidR="00A04F83">
        <w:rPr>
          <w:lang w:bidi="ar-SA"/>
        </w:rPr>
        <w:t xml:space="preserve">. </w:t>
      </w:r>
      <w:r w:rsidR="006C06B4">
        <w:rPr>
          <w:rFonts w:cs="Arial"/>
        </w:rPr>
        <w:t xml:space="preserve">The </w:t>
      </w:r>
      <w:r>
        <w:rPr>
          <w:rFonts w:cs="Arial"/>
        </w:rPr>
        <w:t xml:space="preserve">FSANZ </w:t>
      </w:r>
      <w:r w:rsidR="006C06B4">
        <w:rPr>
          <w:rFonts w:cs="Arial"/>
        </w:rPr>
        <w:t xml:space="preserve">Board </w:t>
      </w:r>
      <w:r>
        <w:rPr>
          <w:rFonts w:cs="Arial"/>
        </w:rPr>
        <w:t>has approved the draft variation</w:t>
      </w:r>
      <w:r w:rsidR="00250BEF">
        <w:rPr>
          <w:rFonts w:cs="Arial"/>
        </w:rPr>
        <w:t xml:space="preserve"> as </w:t>
      </w:r>
      <w:r w:rsidR="003672A9">
        <w:rPr>
          <w:rFonts w:cs="Arial"/>
        </w:rPr>
        <w:t>proposed</w:t>
      </w:r>
      <w:r w:rsidR="00250BEF">
        <w:rPr>
          <w:rFonts w:cs="Arial"/>
        </w:rPr>
        <w:t xml:space="preserve"> following assessment</w:t>
      </w:r>
      <w:r w:rsidR="00E32188" w:rsidRPr="00E32188">
        <w:t xml:space="preserve"> </w:t>
      </w:r>
      <w:r w:rsidR="00E32188" w:rsidRPr="006C06B4">
        <w:t>without change after the consideration of submissions</w:t>
      </w:r>
      <w:r>
        <w:rPr>
          <w:rFonts w:cs="Arial"/>
        </w:rPr>
        <w:t>.</w:t>
      </w:r>
    </w:p>
    <w:p w14:paraId="59F5A48B" w14:textId="77777777" w:rsidR="00ED502F" w:rsidRPr="005E3BF9" w:rsidRDefault="00ED502F" w:rsidP="00896402">
      <w:pPr>
        <w:widowControl/>
      </w:pPr>
    </w:p>
    <w:p w14:paraId="143F9864" w14:textId="77777777" w:rsidR="00C836FF" w:rsidRDefault="00C836FF" w:rsidP="002421C1">
      <w:pPr>
        <w:pStyle w:val="Heading1"/>
      </w:pPr>
      <w:r>
        <w:br w:type="page"/>
      </w:r>
    </w:p>
    <w:p w14:paraId="66C5FAE9" w14:textId="77777777" w:rsidR="007A53BF" w:rsidRPr="007A53BF" w:rsidRDefault="007A53BF" w:rsidP="00CE59AA">
      <w:pPr>
        <w:pStyle w:val="Heading1"/>
      </w:pPr>
      <w:bookmarkStart w:id="10" w:name="_Toc300933417"/>
      <w:bookmarkStart w:id="11" w:name="_Toc370223464"/>
      <w:bookmarkStart w:id="12" w:name="_Toc19270479"/>
      <w:r w:rsidRPr="007A53BF">
        <w:lastRenderedPageBreak/>
        <w:t>1</w:t>
      </w:r>
      <w:r w:rsidRPr="007A53BF">
        <w:tab/>
        <w:t>Introduction</w:t>
      </w:r>
      <w:bookmarkEnd w:id="10"/>
      <w:bookmarkEnd w:id="11"/>
      <w:bookmarkEnd w:id="12"/>
    </w:p>
    <w:p w14:paraId="54379A87" w14:textId="526C17EC" w:rsidR="007A53BF" w:rsidRPr="00CE59AA" w:rsidRDefault="007A53BF" w:rsidP="00CE59AA">
      <w:pPr>
        <w:pStyle w:val="Heading2"/>
        <w:rPr>
          <w:color w:val="FF0000"/>
        </w:rPr>
      </w:pPr>
      <w:bookmarkStart w:id="13" w:name="_Toc300761890"/>
      <w:bookmarkStart w:id="14" w:name="_Toc19270480"/>
      <w:bookmarkStart w:id="15" w:name="_Toc300933419"/>
      <w:bookmarkStart w:id="16" w:name="_Toc370223465"/>
      <w:r w:rsidRPr="007A53BF">
        <w:t>1.1</w:t>
      </w:r>
      <w:r w:rsidRPr="007A53BF">
        <w:tab/>
        <w:t>The Applicant</w:t>
      </w:r>
      <w:bookmarkEnd w:id="13"/>
      <w:bookmarkEnd w:id="14"/>
      <w:r w:rsidRPr="007A53BF">
        <w:t xml:space="preserve"> </w:t>
      </w:r>
      <w:bookmarkEnd w:id="15"/>
      <w:bookmarkEnd w:id="16"/>
    </w:p>
    <w:p w14:paraId="73A1C471" w14:textId="77777777" w:rsidR="00274BD9" w:rsidRPr="00F24C70" w:rsidRDefault="00274BD9" w:rsidP="00274BD9">
      <w:pPr>
        <w:rPr>
          <w:rFonts w:cs="Arial"/>
          <w:szCs w:val="22"/>
        </w:rPr>
      </w:pPr>
      <w:bookmarkStart w:id="17" w:name="_Toc300761891"/>
      <w:bookmarkStart w:id="18" w:name="_Toc300933420"/>
      <w:bookmarkStart w:id="19" w:name="_Toc370223466"/>
      <w:r w:rsidRPr="00F24C70">
        <w:rPr>
          <w:rFonts w:cs="Arial"/>
          <w:szCs w:val="22"/>
        </w:rPr>
        <w:t xml:space="preserve">This application was made by </w:t>
      </w:r>
      <w:r w:rsidRPr="00F24C70">
        <w:rPr>
          <w:rFonts w:cs="Arial"/>
          <w:szCs w:val="22"/>
          <w:lang w:eastAsia="en-AU"/>
        </w:rPr>
        <w:t>Sapro Australia</w:t>
      </w:r>
      <w:r>
        <w:rPr>
          <w:rFonts w:cs="Arial"/>
          <w:szCs w:val="22"/>
          <w:lang w:eastAsia="en-AU"/>
        </w:rPr>
        <w:t xml:space="preserve">, </w:t>
      </w:r>
      <w:r w:rsidRPr="00F24C70">
        <w:rPr>
          <w:rFonts w:cs="Arial"/>
          <w:szCs w:val="22"/>
          <w:lang w:eastAsia="en-AU"/>
        </w:rPr>
        <w:t>an importer and distributor of food.</w:t>
      </w:r>
    </w:p>
    <w:p w14:paraId="74F19653" w14:textId="5986C76E" w:rsidR="007A53BF" w:rsidRPr="007A53BF" w:rsidRDefault="007A53BF" w:rsidP="00CE59AA">
      <w:pPr>
        <w:pStyle w:val="Heading2"/>
      </w:pPr>
      <w:bookmarkStart w:id="20" w:name="_Toc19270481"/>
      <w:r w:rsidRPr="007A53BF">
        <w:t>1.2</w:t>
      </w:r>
      <w:r w:rsidRPr="007A53BF">
        <w:tab/>
        <w:t xml:space="preserve">The </w:t>
      </w:r>
      <w:r w:rsidRPr="008F3C76">
        <w:t>Application</w:t>
      </w:r>
      <w:bookmarkEnd w:id="17"/>
      <w:bookmarkEnd w:id="18"/>
      <w:bookmarkEnd w:id="19"/>
      <w:bookmarkEnd w:id="20"/>
    </w:p>
    <w:p w14:paraId="2F39872E" w14:textId="065F6040" w:rsidR="00274BD9" w:rsidRDefault="00274BD9" w:rsidP="00274BD9">
      <w:bookmarkStart w:id="21" w:name="_Toc300761892"/>
      <w:bookmarkStart w:id="22" w:name="_Toc300933421"/>
      <w:bookmarkStart w:id="23" w:name="_Toc370223467"/>
      <w:r w:rsidRPr="003113E4">
        <w:rPr>
          <w:lang w:bidi="ar-SA"/>
        </w:rPr>
        <w:t>Th</w:t>
      </w:r>
      <w:r>
        <w:rPr>
          <w:lang w:bidi="ar-SA"/>
        </w:rPr>
        <w:t>e</w:t>
      </w:r>
      <w:r w:rsidRPr="003113E4">
        <w:rPr>
          <w:lang w:bidi="ar-SA"/>
        </w:rPr>
        <w:t xml:space="preserve"> </w:t>
      </w:r>
      <w:r>
        <w:rPr>
          <w:lang w:bidi="ar-SA"/>
        </w:rPr>
        <w:t>a</w:t>
      </w:r>
      <w:r w:rsidRPr="003113E4">
        <w:rPr>
          <w:lang w:bidi="ar-SA"/>
        </w:rPr>
        <w:t xml:space="preserve">pplication </w:t>
      </w:r>
      <w:r w:rsidR="00D4683D">
        <w:rPr>
          <w:lang w:bidi="ar-SA"/>
        </w:rPr>
        <w:t xml:space="preserve">sought </w:t>
      </w:r>
      <w:r>
        <w:rPr>
          <w:lang w:bidi="ar-SA"/>
        </w:rPr>
        <w:t xml:space="preserve">to amend </w:t>
      </w:r>
      <w:r>
        <w:t xml:space="preserve">the </w:t>
      </w:r>
      <w:r w:rsidRPr="002D6ECE">
        <w:t>Australia New Zealand Food Standards Code (the Code)</w:t>
      </w:r>
      <w:r>
        <w:t xml:space="preserve">, to </w:t>
      </w:r>
      <w:r w:rsidRPr="0075445E">
        <w:rPr>
          <w:szCs w:val="22"/>
        </w:rPr>
        <w:t xml:space="preserve">clarify the meaning of the terms </w:t>
      </w:r>
      <w:r w:rsidR="006D6B7D">
        <w:rPr>
          <w:szCs w:val="22"/>
        </w:rPr>
        <w:t>‘</w:t>
      </w:r>
      <w:r w:rsidRPr="0075445E">
        <w:rPr>
          <w:szCs w:val="22"/>
        </w:rPr>
        <w:t>herbs</w:t>
      </w:r>
      <w:r w:rsidR="006D6B7D">
        <w:rPr>
          <w:szCs w:val="22"/>
        </w:rPr>
        <w:t>’</w:t>
      </w:r>
      <w:r w:rsidRPr="0075445E">
        <w:rPr>
          <w:szCs w:val="22"/>
        </w:rPr>
        <w:t xml:space="preserve"> and </w:t>
      </w:r>
      <w:r w:rsidR="006D6B7D">
        <w:rPr>
          <w:szCs w:val="22"/>
        </w:rPr>
        <w:t>‘</w:t>
      </w:r>
      <w:r w:rsidRPr="0075445E">
        <w:rPr>
          <w:szCs w:val="22"/>
        </w:rPr>
        <w:t>spices</w:t>
      </w:r>
      <w:r w:rsidR="006D6B7D">
        <w:rPr>
          <w:szCs w:val="22"/>
        </w:rPr>
        <w:t>’</w:t>
      </w:r>
      <w:r w:rsidRPr="0075445E">
        <w:rPr>
          <w:szCs w:val="22"/>
        </w:rPr>
        <w:t xml:space="preserve"> in </w:t>
      </w:r>
      <w:r>
        <w:rPr>
          <w:szCs w:val="22"/>
        </w:rPr>
        <w:t xml:space="preserve">Standard 1.5.3, in </w:t>
      </w:r>
      <w:r w:rsidRPr="0075445E">
        <w:rPr>
          <w:szCs w:val="22"/>
        </w:rPr>
        <w:t>order to ensure uniform interpretation and enforcement.</w:t>
      </w:r>
      <w:r>
        <w:rPr>
          <w:szCs w:val="22"/>
        </w:rPr>
        <w:t xml:space="preserve"> The relevant provisions of the Code are described below.</w:t>
      </w:r>
    </w:p>
    <w:p w14:paraId="4D03B8C4" w14:textId="77777777" w:rsidR="00274BD9" w:rsidRDefault="00274BD9" w:rsidP="00274BD9">
      <w:pPr>
        <w:rPr>
          <w:lang w:bidi="ar-SA"/>
        </w:rPr>
      </w:pPr>
    </w:p>
    <w:p w14:paraId="22D414DE" w14:textId="43AF6DF2" w:rsidR="00274BD9" w:rsidRPr="000F2443" w:rsidRDefault="00274BD9" w:rsidP="00274BD9">
      <w:pPr>
        <w:widowControl/>
        <w:autoSpaceDE w:val="0"/>
        <w:autoSpaceDN w:val="0"/>
        <w:adjustRightInd w:val="0"/>
        <w:rPr>
          <w:lang w:bidi="ar-SA"/>
        </w:rPr>
      </w:pPr>
      <w:r>
        <w:rPr>
          <w:lang w:bidi="ar-SA"/>
        </w:rPr>
        <w:t xml:space="preserve">The applicant requested that the Code </w:t>
      </w:r>
      <w:r w:rsidR="004B63C7">
        <w:rPr>
          <w:lang w:bidi="ar-SA"/>
        </w:rPr>
        <w:t xml:space="preserve">be </w:t>
      </w:r>
      <w:r>
        <w:rPr>
          <w:lang w:bidi="ar-SA"/>
        </w:rPr>
        <w:t xml:space="preserve">clarified to provide greater certainty regarding the permission to irradiate herbs and spices. The applicant’s stated position </w:t>
      </w:r>
      <w:r w:rsidR="00473AFB">
        <w:rPr>
          <w:lang w:bidi="ar-SA"/>
        </w:rPr>
        <w:t xml:space="preserve">was </w:t>
      </w:r>
      <w:r>
        <w:rPr>
          <w:lang w:bidi="ar-SA"/>
        </w:rPr>
        <w:t xml:space="preserve">that </w:t>
      </w:r>
      <w:r w:rsidRPr="00456043">
        <w:rPr>
          <w:rFonts w:cs="Arial"/>
          <w:szCs w:val="22"/>
          <w:lang w:eastAsia="en-GB" w:bidi="he-IL"/>
        </w:rPr>
        <w:t xml:space="preserve">the use </w:t>
      </w:r>
      <w:r>
        <w:rPr>
          <w:rFonts w:cs="Arial"/>
          <w:szCs w:val="22"/>
          <w:lang w:eastAsia="en-GB" w:bidi="he-IL"/>
        </w:rPr>
        <w:t xml:space="preserve">of </w:t>
      </w:r>
      <w:r w:rsidRPr="00456043">
        <w:rPr>
          <w:rFonts w:cs="Arial"/>
          <w:szCs w:val="22"/>
          <w:lang w:eastAsia="en-GB" w:bidi="he-IL"/>
        </w:rPr>
        <w:t xml:space="preserve">the phrase </w:t>
      </w:r>
      <w:r>
        <w:rPr>
          <w:rFonts w:cs="Arial"/>
          <w:i/>
          <w:szCs w:val="22"/>
          <w:lang w:eastAsia="en-GB" w:bidi="he-IL"/>
        </w:rPr>
        <w:t>‘</w:t>
      </w:r>
      <w:r w:rsidRPr="007F0793">
        <w:rPr>
          <w:rFonts w:cs="Arial"/>
          <w:i/>
          <w:szCs w:val="22"/>
          <w:lang w:eastAsia="en-GB" w:bidi="he-IL"/>
        </w:rPr>
        <w:t>herbs and spices means the herbs and spices described in Schedule 22</w:t>
      </w:r>
      <w:r>
        <w:rPr>
          <w:rFonts w:cs="Arial"/>
          <w:i/>
          <w:szCs w:val="22"/>
          <w:lang w:eastAsia="en-GB" w:bidi="he-IL"/>
        </w:rPr>
        <w:t>’</w:t>
      </w:r>
      <w:r w:rsidRPr="00456043">
        <w:rPr>
          <w:rFonts w:cs="Arial"/>
          <w:szCs w:val="22"/>
          <w:lang w:eastAsia="en-GB" w:bidi="he-IL"/>
        </w:rPr>
        <w:t xml:space="preserve"> in s</w:t>
      </w:r>
      <w:r>
        <w:rPr>
          <w:rFonts w:cs="Arial"/>
          <w:szCs w:val="22"/>
          <w:lang w:eastAsia="en-GB" w:bidi="he-IL"/>
        </w:rPr>
        <w:t>ubs</w:t>
      </w:r>
      <w:r w:rsidRPr="00456043">
        <w:rPr>
          <w:rFonts w:cs="Arial"/>
          <w:szCs w:val="22"/>
          <w:lang w:eastAsia="en-GB" w:bidi="he-IL"/>
        </w:rPr>
        <w:t>ection 1.5.3—4</w:t>
      </w:r>
      <w:r>
        <w:rPr>
          <w:rFonts w:cs="Arial"/>
          <w:szCs w:val="22"/>
          <w:lang w:eastAsia="en-GB" w:bidi="he-IL"/>
        </w:rPr>
        <w:t>(3)</w:t>
      </w:r>
      <w:r w:rsidRPr="00456043">
        <w:rPr>
          <w:rFonts w:cs="Arial"/>
          <w:szCs w:val="22"/>
          <w:lang w:eastAsia="en-GB" w:bidi="he-IL"/>
        </w:rPr>
        <w:t xml:space="preserve"> refer</w:t>
      </w:r>
      <w:r>
        <w:rPr>
          <w:rFonts w:cs="Arial"/>
          <w:szCs w:val="22"/>
          <w:lang w:eastAsia="en-GB" w:bidi="he-IL"/>
        </w:rPr>
        <w:t>s</w:t>
      </w:r>
      <w:r w:rsidRPr="00456043">
        <w:rPr>
          <w:rFonts w:cs="Arial"/>
          <w:szCs w:val="22"/>
          <w:lang w:eastAsia="en-GB" w:bidi="he-IL"/>
        </w:rPr>
        <w:t xml:space="preserve"> </w:t>
      </w:r>
      <w:r>
        <w:rPr>
          <w:rFonts w:cs="Arial"/>
          <w:szCs w:val="22"/>
          <w:lang w:eastAsia="en-GB" w:bidi="he-IL"/>
        </w:rPr>
        <w:t xml:space="preserve">to </w:t>
      </w:r>
      <w:r w:rsidRPr="00456043">
        <w:rPr>
          <w:rFonts w:cs="Arial"/>
          <w:szCs w:val="22"/>
          <w:lang w:eastAsia="en-GB" w:bidi="he-IL"/>
        </w:rPr>
        <w:t xml:space="preserve">any herb or spice that could be described </w:t>
      </w:r>
      <w:r>
        <w:rPr>
          <w:rFonts w:cs="Arial"/>
          <w:szCs w:val="22"/>
          <w:lang w:eastAsia="en-GB" w:bidi="he-IL"/>
        </w:rPr>
        <w:t xml:space="preserve">in Schedule 22 </w:t>
      </w:r>
      <w:r w:rsidRPr="00456043">
        <w:rPr>
          <w:rFonts w:cs="Arial"/>
          <w:szCs w:val="22"/>
          <w:lang w:eastAsia="en-GB" w:bidi="he-IL"/>
        </w:rPr>
        <w:t xml:space="preserve">either in the description </w:t>
      </w:r>
      <w:r>
        <w:rPr>
          <w:rFonts w:cs="Arial"/>
          <w:szCs w:val="22"/>
          <w:lang w:eastAsia="en-GB" w:bidi="he-IL"/>
        </w:rPr>
        <w:t>of the commodity</w:t>
      </w:r>
      <w:r w:rsidRPr="00456043">
        <w:rPr>
          <w:rFonts w:cs="Arial"/>
          <w:szCs w:val="22"/>
          <w:lang w:eastAsia="en-GB" w:bidi="he-IL"/>
        </w:rPr>
        <w:t xml:space="preserve"> or</w:t>
      </w:r>
      <w:r>
        <w:rPr>
          <w:rFonts w:cs="Arial"/>
          <w:szCs w:val="22"/>
          <w:lang w:eastAsia="en-GB" w:bidi="he-IL"/>
        </w:rPr>
        <w:t xml:space="preserve"> </w:t>
      </w:r>
      <w:r w:rsidRPr="00456043">
        <w:rPr>
          <w:rFonts w:cs="Arial"/>
          <w:szCs w:val="22"/>
          <w:lang w:eastAsia="en-GB" w:bidi="he-IL"/>
        </w:rPr>
        <w:t>in the commodities list</w:t>
      </w:r>
      <w:r>
        <w:rPr>
          <w:rFonts w:cs="Arial"/>
          <w:szCs w:val="22"/>
          <w:lang w:eastAsia="en-GB" w:bidi="he-IL"/>
        </w:rPr>
        <w:t xml:space="preserve"> (</w:t>
      </w:r>
      <w:r w:rsidRPr="00456043">
        <w:rPr>
          <w:rFonts w:cs="Arial"/>
          <w:szCs w:val="22"/>
          <w:lang w:eastAsia="en-GB" w:bidi="he-IL"/>
        </w:rPr>
        <w:t>i.e. any plant derived material that may be</w:t>
      </w:r>
      <w:r>
        <w:rPr>
          <w:rFonts w:cs="Arial"/>
          <w:szCs w:val="22"/>
          <w:lang w:eastAsia="en-GB" w:bidi="he-IL"/>
        </w:rPr>
        <w:t xml:space="preserve"> </w:t>
      </w:r>
      <w:r w:rsidRPr="00456043">
        <w:rPr>
          <w:rFonts w:cs="Arial"/>
          <w:szCs w:val="22"/>
          <w:lang w:eastAsia="en-GB" w:bidi="he-IL"/>
        </w:rPr>
        <w:t>classified as a herb or a spice</w:t>
      </w:r>
      <w:r>
        <w:rPr>
          <w:rFonts w:cs="Arial"/>
          <w:szCs w:val="22"/>
          <w:lang w:eastAsia="en-GB" w:bidi="he-IL"/>
        </w:rPr>
        <w:t>)</w:t>
      </w:r>
      <w:r w:rsidRPr="00456043">
        <w:rPr>
          <w:rFonts w:cs="Arial"/>
          <w:szCs w:val="22"/>
          <w:lang w:eastAsia="en-GB" w:bidi="he-IL"/>
        </w:rPr>
        <w:t>.</w:t>
      </w:r>
    </w:p>
    <w:p w14:paraId="3D313E13" w14:textId="77777777" w:rsidR="00274BD9" w:rsidRDefault="00274BD9" w:rsidP="00274BD9">
      <w:pPr>
        <w:rPr>
          <w:lang w:bidi="ar-SA"/>
        </w:rPr>
      </w:pPr>
    </w:p>
    <w:p w14:paraId="252725F0" w14:textId="083B5EEB" w:rsidR="00274BD9" w:rsidRDefault="00274BD9" w:rsidP="00274BD9">
      <w:r w:rsidRPr="00095C6C">
        <w:t xml:space="preserve">The applicant </w:t>
      </w:r>
      <w:r w:rsidR="00D4683D" w:rsidRPr="00095C6C">
        <w:t>state</w:t>
      </w:r>
      <w:r w:rsidR="00D4683D">
        <w:t>d</w:t>
      </w:r>
      <w:r w:rsidR="00D4683D" w:rsidRPr="00095C6C">
        <w:t xml:space="preserve"> </w:t>
      </w:r>
      <w:r w:rsidRPr="00095C6C">
        <w:t xml:space="preserve">that, as a result of the descriptions and lists of commodities in </w:t>
      </w:r>
      <w:r>
        <w:t>S</w:t>
      </w:r>
      <w:r w:rsidRPr="00095C6C">
        <w:t xml:space="preserve">chedule 22, the permission to irradiate specific herbs and spices </w:t>
      </w:r>
      <w:r w:rsidR="008753A7">
        <w:t>was open to a number of possible interpretations</w:t>
      </w:r>
      <w:r w:rsidR="00FB7C6D">
        <w:t xml:space="preserve">, including </w:t>
      </w:r>
      <w:r w:rsidRPr="00095C6C">
        <w:t xml:space="preserve">as a reference </w:t>
      </w:r>
      <w:r w:rsidR="00FB7C6D">
        <w:t xml:space="preserve">only </w:t>
      </w:r>
      <w:r w:rsidRPr="00095C6C">
        <w:t>to the descriptions of herbs and of spices</w:t>
      </w:r>
      <w:r>
        <w:t>,</w:t>
      </w:r>
      <w:r w:rsidRPr="00095C6C">
        <w:t xml:space="preserve"> or only to the commodities listed after each description.</w:t>
      </w:r>
    </w:p>
    <w:p w14:paraId="69E72327" w14:textId="77777777" w:rsidR="00274BD9" w:rsidRDefault="00274BD9" w:rsidP="00274BD9">
      <w:pPr>
        <w:rPr>
          <w:lang w:bidi="ar-SA"/>
        </w:rPr>
      </w:pPr>
    </w:p>
    <w:p w14:paraId="633C8D7F" w14:textId="039F890D" w:rsidR="00274BD9" w:rsidRDefault="00274BD9" w:rsidP="00274BD9">
      <w:pPr>
        <w:rPr>
          <w:lang w:bidi="ar-SA"/>
        </w:rPr>
      </w:pPr>
      <w:r>
        <w:rPr>
          <w:szCs w:val="22"/>
        </w:rPr>
        <w:t xml:space="preserve">The applicant </w:t>
      </w:r>
      <w:r w:rsidR="00D4683D">
        <w:rPr>
          <w:szCs w:val="22"/>
        </w:rPr>
        <w:t xml:space="preserve">proposed </w:t>
      </w:r>
      <w:r>
        <w:rPr>
          <w:szCs w:val="22"/>
        </w:rPr>
        <w:t>that the current definition of herbs and spices in Standard 1.5.3 be replaced either by a commonly understood meaning of herbs and spices, or by including generic definitions of ‘herbs’ and ‘spices’ in Standard 1.5.3, to align with the Codex Alimentarius (Codex).</w:t>
      </w:r>
    </w:p>
    <w:p w14:paraId="250D246B" w14:textId="77777777" w:rsidR="00274BD9" w:rsidRDefault="00274BD9" w:rsidP="00274BD9">
      <w:pPr>
        <w:rPr>
          <w:lang w:bidi="ar-SA"/>
        </w:rPr>
      </w:pPr>
    </w:p>
    <w:p w14:paraId="043AEA33" w14:textId="1A595E8A" w:rsidR="00274BD9" w:rsidRDefault="00274BD9" w:rsidP="00274BD9">
      <w:r>
        <w:t>The</w:t>
      </w:r>
      <w:r w:rsidRPr="006851FF">
        <w:t xml:space="preserve"> </w:t>
      </w:r>
      <w:r>
        <w:t xml:space="preserve">applicant </w:t>
      </w:r>
      <w:r w:rsidR="006C06B4">
        <w:t xml:space="preserve">stated </w:t>
      </w:r>
      <w:r>
        <w:t>the r</w:t>
      </w:r>
      <w:r w:rsidRPr="006851FF">
        <w:t>equested variation will have no effect on the current requirement to declare the use of ionising radiation on food labels</w:t>
      </w:r>
      <w:r>
        <w:t>.</w:t>
      </w:r>
    </w:p>
    <w:p w14:paraId="52B25BCE" w14:textId="596D0375" w:rsidR="007A53BF" w:rsidRPr="007A53BF" w:rsidRDefault="00274BD9" w:rsidP="00CE59AA">
      <w:pPr>
        <w:pStyle w:val="Heading2"/>
      </w:pPr>
      <w:bookmarkStart w:id="24" w:name="_Toc19270482"/>
      <w:r>
        <w:t>1.3</w:t>
      </w:r>
      <w:r>
        <w:tab/>
        <w:t>The current s</w:t>
      </w:r>
      <w:r w:rsidR="007A53BF" w:rsidRPr="007A53BF">
        <w:t>tandard</w:t>
      </w:r>
      <w:bookmarkEnd w:id="21"/>
      <w:bookmarkEnd w:id="22"/>
      <w:bookmarkEnd w:id="23"/>
      <w:r>
        <w:t>s</w:t>
      </w:r>
      <w:bookmarkEnd w:id="24"/>
    </w:p>
    <w:p w14:paraId="27BC9B8F" w14:textId="77777777" w:rsidR="00274BD9" w:rsidRDefault="00274BD9" w:rsidP="00274BD9">
      <w:bookmarkStart w:id="25" w:name="_Toc286391007"/>
      <w:bookmarkStart w:id="26" w:name="_Toc300933423"/>
      <w:bookmarkStart w:id="27" w:name="_Toc370223468"/>
      <w:bookmarkStart w:id="28" w:name="_Toc175381432"/>
      <w:r>
        <w:t>Australian and New Zealand food laws require food for sale to comply with the following Code requirements.</w:t>
      </w:r>
    </w:p>
    <w:p w14:paraId="09A88F39" w14:textId="77777777" w:rsidR="00274BD9" w:rsidRDefault="00274BD9" w:rsidP="00274BD9"/>
    <w:p w14:paraId="228B421E" w14:textId="77777777" w:rsidR="00274BD9" w:rsidRDefault="00274BD9" w:rsidP="00274BD9">
      <w:pPr>
        <w:rPr>
          <w:i/>
        </w:rPr>
      </w:pPr>
      <w:r>
        <w:rPr>
          <w:i/>
        </w:rPr>
        <w:t>Permission to irradiate</w:t>
      </w:r>
    </w:p>
    <w:p w14:paraId="53744C84" w14:textId="77777777" w:rsidR="00274BD9" w:rsidRDefault="00274BD9" w:rsidP="00274BD9">
      <w:pPr>
        <w:rPr>
          <w:i/>
        </w:rPr>
      </w:pPr>
    </w:p>
    <w:p w14:paraId="2FA85911" w14:textId="77777777" w:rsidR="00274BD9" w:rsidRDefault="00274BD9" w:rsidP="00274BD9">
      <w:r>
        <w:t>Paragraphs 1.1.1—10(5)(d) and (6)(h) of Standard 1.1.1 require that, unless expressly permitted, a food for sale must not be irradiated, or have as an ingredient or component a food that has been irradiated.</w:t>
      </w:r>
    </w:p>
    <w:p w14:paraId="686DB757" w14:textId="77777777" w:rsidR="00274BD9" w:rsidRDefault="00274BD9" w:rsidP="00274BD9"/>
    <w:p w14:paraId="541F8076" w14:textId="77777777" w:rsidR="00274BD9" w:rsidRDefault="00274BD9" w:rsidP="00274BD9">
      <w:pPr>
        <w:rPr>
          <w:lang w:bidi="ar-SA"/>
        </w:rPr>
      </w:pPr>
      <w:r>
        <w:rPr>
          <w:lang w:bidi="ar-SA"/>
        </w:rPr>
        <w:t xml:space="preserve">Section 1.5.3—4 permits herbs and spices to be irradiated for certain purposes and subject to certain conditions. </w:t>
      </w:r>
      <w:r>
        <w:t>Subsection 1.5.3—4(3) states that, for the purposes of this permission, ‘herbs and spices means the herbs and spices described in Schedule 22’.</w:t>
      </w:r>
    </w:p>
    <w:p w14:paraId="5790125F" w14:textId="77777777" w:rsidR="00274BD9" w:rsidRDefault="00274BD9" w:rsidP="00274BD9"/>
    <w:p w14:paraId="4D1DA8BE" w14:textId="77777777" w:rsidR="00274BD9" w:rsidRDefault="00274BD9" w:rsidP="00274BD9">
      <w:pPr>
        <w:rPr>
          <w:lang w:bidi="ar-SA"/>
        </w:rPr>
      </w:pPr>
      <w:r>
        <w:rPr>
          <w:lang w:bidi="ar-SA"/>
        </w:rPr>
        <w:t xml:space="preserve">The permission for the irradiation of herbs and spices has been part of the Code since 2001. It was inserted as a result of Application A413 </w:t>
      </w:r>
      <w:r>
        <w:t>Irradiation of Herbs and Spices (ANZFA 2001)</w:t>
      </w:r>
      <w:r>
        <w:rPr>
          <w:lang w:bidi="ar-SA"/>
        </w:rPr>
        <w:t xml:space="preserve">. In September 2001, under the Final Assessment Report for A413, the definitions for herbs and spices were finalised and subsequently contained in Amendment No. 56 to the Code, stating at that time ‘herbs and spices as described in Schedule 4 to Standard 1.4.2’. </w:t>
      </w:r>
      <w:r>
        <w:rPr>
          <w:lang w:bidi="ar-SA"/>
        </w:rPr>
        <w:lastRenderedPageBreak/>
        <w:t>Schedule 4 was the precursor to Schedule 22 in the current Code.</w:t>
      </w:r>
    </w:p>
    <w:p w14:paraId="05DF5FE3" w14:textId="77777777" w:rsidR="00274BD9" w:rsidRDefault="00274BD9" w:rsidP="00274BD9">
      <w:pPr>
        <w:rPr>
          <w:lang w:bidi="ar-SA"/>
        </w:rPr>
      </w:pPr>
    </w:p>
    <w:p w14:paraId="656E394A" w14:textId="77777777" w:rsidR="00274BD9" w:rsidRDefault="00274BD9" w:rsidP="00274BD9">
      <w:r>
        <w:t xml:space="preserve">Schedule 22 of the Code currently lists foods and classes of food (see section </w:t>
      </w:r>
      <w:r>
        <w:rPr>
          <w:rFonts w:cs="Arial"/>
          <w:szCs w:val="22"/>
          <w:lang w:val="en-AU" w:eastAsia="en-GB" w:bidi="ar-SA"/>
        </w:rPr>
        <w:t>S</w:t>
      </w:r>
      <w:r w:rsidRPr="004F0397">
        <w:rPr>
          <w:rFonts w:cs="Arial"/>
          <w:szCs w:val="22"/>
          <w:lang w:val="en-AU" w:eastAsia="en-GB" w:bidi="ar-SA"/>
        </w:rPr>
        <w:t>22</w:t>
      </w:r>
      <w:r>
        <w:rPr>
          <w:rFonts w:cs="Arial"/>
          <w:szCs w:val="22"/>
          <w:lang w:val="en-AU" w:eastAsia="en-GB" w:bidi="ar-SA"/>
        </w:rPr>
        <w:t xml:space="preserve">—2). </w:t>
      </w:r>
      <w:r>
        <w:t>That list includes a separate class each for herbs and for spices. The entry in Schedule 22 for herbs and for spices includes a general description of what constitutes a herb or a spice, as well as a list of food commodities for each class.</w:t>
      </w:r>
    </w:p>
    <w:p w14:paraId="5098C411" w14:textId="77777777" w:rsidR="00274BD9" w:rsidRDefault="00274BD9" w:rsidP="00274BD9"/>
    <w:p w14:paraId="0FA6A781" w14:textId="39CF5602" w:rsidR="00274BD9" w:rsidRDefault="00274BD9" w:rsidP="00274BD9">
      <w:pPr>
        <w:rPr>
          <w:lang w:bidi="ar-SA"/>
        </w:rPr>
      </w:pPr>
      <w:r>
        <w:t>Schedule 22 of the Code lists foods and classes of food</w:t>
      </w:r>
      <w:r>
        <w:rPr>
          <w:lang w:bidi="ar-SA"/>
        </w:rPr>
        <w:t xml:space="preserve"> primarily for the purposes of Standard 1.4.2, which regulates maximum residue limits (MRLs) </w:t>
      </w:r>
      <w:r w:rsidRPr="00030324">
        <w:rPr>
          <w:lang w:bidi="ar-SA"/>
        </w:rPr>
        <w:t>and extraneous residue limits for agricultural or veterinary chemicals that are permitted in foods for sale</w:t>
      </w:r>
      <w:r>
        <w:rPr>
          <w:lang w:bidi="ar-SA"/>
        </w:rPr>
        <w:t xml:space="preserve"> in Australia. The MRLs for particular foods are listed in Schedule 20 and the permitted </w:t>
      </w:r>
      <w:r w:rsidRPr="00030324">
        <w:rPr>
          <w:lang w:bidi="ar-SA"/>
        </w:rPr>
        <w:t>extraneous residue limits</w:t>
      </w:r>
      <w:r>
        <w:rPr>
          <w:lang w:bidi="ar-SA"/>
        </w:rPr>
        <w:t xml:space="preserve"> for particular f</w:t>
      </w:r>
      <w:r w:rsidR="00B429D7">
        <w:rPr>
          <w:lang w:bidi="ar-SA"/>
        </w:rPr>
        <w:t>oods are listed in Schedule 21.</w:t>
      </w:r>
    </w:p>
    <w:p w14:paraId="0774C5DA" w14:textId="77777777" w:rsidR="00274BD9" w:rsidRDefault="00274BD9" w:rsidP="00274BD9">
      <w:pPr>
        <w:rPr>
          <w:lang w:bidi="ar-SA"/>
        </w:rPr>
      </w:pPr>
    </w:p>
    <w:p w14:paraId="25D6E256" w14:textId="71B4A8B8" w:rsidR="00274BD9" w:rsidRDefault="00274BD9" w:rsidP="00274BD9">
      <w:pPr>
        <w:rPr>
          <w:lang w:bidi="ar-SA"/>
        </w:rPr>
      </w:pPr>
      <w:r>
        <w:rPr>
          <w:lang w:bidi="ar-SA"/>
        </w:rPr>
        <w:t xml:space="preserve">Similar to </w:t>
      </w:r>
      <w:r>
        <w:t>subsection 1.5.3—4(3),</w:t>
      </w:r>
      <w:r w:rsidRPr="004F0397">
        <w:rPr>
          <w:rFonts w:cs="Arial"/>
          <w:szCs w:val="22"/>
          <w:lang w:val="en-AU" w:eastAsia="en-GB" w:bidi="ar-SA"/>
        </w:rPr>
        <w:t xml:space="preserve"> </w:t>
      </w:r>
      <w:r w:rsidR="00C06489">
        <w:rPr>
          <w:rFonts w:cs="Arial"/>
          <w:szCs w:val="22"/>
          <w:lang w:val="en-AU" w:eastAsia="en-GB" w:bidi="ar-SA"/>
        </w:rPr>
        <w:t>s</w:t>
      </w:r>
      <w:r w:rsidR="00B20049">
        <w:rPr>
          <w:rFonts w:cs="Arial"/>
          <w:szCs w:val="22"/>
          <w:lang w:val="en-AU" w:eastAsia="en-GB" w:bidi="ar-SA"/>
        </w:rPr>
        <w:t>ection</w:t>
      </w:r>
      <w:r w:rsidR="00B20049" w:rsidRPr="004F0397">
        <w:rPr>
          <w:rFonts w:cs="Arial"/>
          <w:szCs w:val="22"/>
          <w:lang w:val="en-AU" w:eastAsia="en-GB" w:bidi="ar-SA"/>
        </w:rPr>
        <w:t xml:space="preserve"> </w:t>
      </w:r>
      <w:r w:rsidRPr="004F0397">
        <w:rPr>
          <w:rFonts w:cs="Arial"/>
          <w:szCs w:val="22"/>
          <w:lang w:val="en-AU" w:eastAsia="en-GB" w:bidi="ar-SA"/>
        </w:rPr>
        <w:t>1.4.2</w:t>
      </w:r>
      <w:r w:rsidR="00B20049">
        <w:rPr>
          <w:rFonts w:cs="Arial"/>
          <w:szCs w:val="22"/>
          <w:lang w:val="en-AU" w:eastAsia="en-GB" w:bidi="ar-SA"/>
        </w:rPr>
        <w:t>—3(</w:t>
      </w:r>
      <w:r w:rsidR="0027354B">
        <w:rPr>
          <w:rFonts w:cs="Arial"/>
          <w:szCs w:val="22"/>
          <w:lang w:val="en-AU" w:eastAsia="en-GB" w:bidi="ar-SA"/>
        </w:rPr>
        <w:t>4</w:t>
      </w:r>
      <w:r w:rsidR="00B20049">
        <w:rPr>
          <w:rFonts w:cs="Arial"/>
          <w:szCs w:val="22"/>
          <w:lang w:val="en-AU" w:eastAsia="en-GB" w:bidi="ar-SA"/>
        </w:rPr>
        <w:t>)</w:t>
      </w:r>
      <w:r w:rsidRPr="004F0397">
        <w:rPr>
          <w:rFonts w:cs="Arial"/>
          <w:szCs w:val="22"/>
          <w:lang w:val="en-AU" w:eastAsia="en-GB" w:bidi="ar-SA"/>
        </w:rPr>
        <w:t xml:space="preserve"> </w:t>
      </w:r>
      <w:r>
        <w:rPr>
          <w:rFonts w:cs="Arial"/>
          <w:szCs w:val="22"/>
          <w:lang w:val="en-AU" w:eastAsia="en-GB" w:bidi="ar-SA"/>
        </w:rPr>
        <w:t>provides</w:t>
      </w:r>
      <w:r w:rsidRPr="004F0397">
        <w:rPr>
          <w:rFonts w:cs="Arial"/>
          <w:szCs w:val="22"/>
          <w:lang w:val="en-AU" w:eastAsia="en-GB" w:bidi="ar-SA"/>
        </w:rPr>
        <w:t xml:space="preserve"> that</w:t>
      </w:r>
      <w:r>
        <w:rPr>
          <w:rFonts w:cs="Arial"/>
          <w:szCs w:val="22"/>
          <w:lang w:val="en-AU" w:eastAsia="en-GB" w:bidi="ar-SA"/>
        </w:rPr>
        <w:t>,</w:t>
      </w:r>
      <w:r w:rsidRPr="009D1BDB">
        <w:rPr>
          <w:rFonts w:cs="Arial"/>
          <w:szCs w:val="22"/>
          <w:lang w:val="en-AU" w:eastAsia="en-GB" w:bidi="ar-SA"/>
        </w:rPr>
        <w:t xml:space="preserve"> </w:t>
      </w:r>
      <w:r>
        <w:rPr>
          <w:rFonts w:cs="Arial"/>
          <w:szCs w:val="22"/>
          <w:lang w:val="en-AU" w:eastAsia="en-GB" w:bidi="ar-SA"/>
        </w:rPr>
        <w:t xml:space="preserve">for MRLs, </w:t>
      </w:r>
      <w:r>
        <w:rPr>
          <w:lang w:bidi="ar-SA"/>
        </w:rPr>
        <w:t xml:space="preserve">a </w:t>
      </w:r>
      <w:r w:rsidRPr="001D1563">
        <w:t xml:space="preserve">reference to a particular food </w:t>
      </w:r>
      <w:r>
        <w:t xml:space="preserve">in </w:t>
      </w:r>
      <w:r w:rsidR="00734B6F" w:rsidRPr="004F0397">
        <w:rPr>
          <w:rFonts w:cs="Arial"/>
          <w:szCs w:val="22"/>
          <w:lang w:val="en-AU" w:eastAsia="en-GB" w:bidi="ar-SA"/>
        </w:rPr>
        <w:t>Standard 1.4.2</w:t>
      </w:r>
      <w:r w:rsidR="00734B6F">
        <w:rPr>
          <w:rFonts w:cs="Arial"/>
          <w:szCs w:val="22"/>
          <w:lang w:val="en-AU" w:eastAsia="en-GB" w:bidi="ar-SA"/>
        </w:rPr>
        <w:t>,</w:t>
      </w:r>
      <w:r w:rsidR="00734B6F" w:rsidRPr="004F0397">
        <w:rPr>
          <w:rFonts w:cs="Arial"/>
          <w:szCs w:val="22"/>
          <w:lang w:val="en-AU" w:eastAsia="en-GB" w:bidi="ar-SA"/>
        </w:rPr>
        <w:t xml:space="preserve"> </w:t>
      </w:r>
      <w:r>
        <w:t xml:space="preserve">Schedule 20 or 21 </w:t>
      </w:r>
      <w:r w:rsidRPr="001D1563">
        <w:t>is to the food as described in Schedule 22</w:t>
      </w:r>
      <w:r>
        <w:rPr>
          <w:lang w:bidi="ar-SA"/>
        </w:rPr>
        <w:t xml:space="preserve">. As explained in section </w:t>
      </w:r>
      <w:r w:rsidRPr="00095C6C">
        <w:rPr>
          <w:lang w:bidi="ar-SA"/>
        </w:rPr>
        <w:t>1.4.1</w:t>
      </w:r>
      <w:r>
        <w:rPr>
          <w:lang w:bidi="ar-SA"/>
        </w:rPr>
        <w:t xml:space="preserve"> of this report</w:t>
      </w:r>
      <w:r w:rsidRPr="00095C6C">
        <w:rPr>
          <w:lang w:bidi="ar-SA"/>
        </w:rPr>
        <w:t>,</w:t>
      </w:r>
      <w:r>
        <w:rPr>
          <w:lang w:bidi="ar-SA"/>
        </w:rPr>
        <w:t xml:space="preserve"> the food commodity descriptors in Schedule 22 were initially based on the </w:t>
      </w:r>
      <w:r w:rsidRPr="007E6E67">
        <w:rPr>
          <w:rFonts w:cs="Arial"/>
        </w:rPr>
        <w:t>Codex Committee on Pesticide Residue</w:t>
      </w:r>
      <w:r>
        <w:rPr>
          <w:rFonts w:cs="Arial"/>
        </w:rPr>
        <w:t>s</w:t>
      </w:r>
      <w:r w:rsidRPr="007E6E67">
        <w:rPr>
          <w:rFonts w:cs="Arial"/>
        </w:rPr>
        <w:t xml:space="preserve"> </w:t>
      </w:r>
      <w:r w:rsidRPr="00CF3410">
        <w:rPr>
          <w:rFonts w:cs="Arial"/>
        </w:rPr>
        <w:t>(CCPR)</w:t>
      </w:r>
      <w:r>
        <w:rPr>
          <w:rFonts w:cs="Arial"/>
        </w:rPr>
        <w:t xml:space="preserve"> </w:t>
      </w:r>
      <w:r>
        <w:rPr>
          <w:lang w:bidi="ar-SA"/>
        </w:rPr>
        <w:t>guidelines that were in place and commodities as traded at the time (but with flexibility, for example, to accommodate Australian specific foods and</w:t>
      </w:r>
      <w:r w:rsidR="00B95202">
        <w:rPr>
          <w:lang w:bidi="ar-SA"/>
        </w:rPr>
        <w:t>/</w:t>
      </w:r>
      <w:r>
        <w:rPr>
          <w:lang w:bidi="ar-SA"/>
        </w:rPr>
        <w:t>or capture a range of plant cultivars under one commodity na</w:t>
      </w:r>
      <w:r w:rsidR="00B429D7">
        <w:rPr>
          <w:lang w:bidi="ar-SA"/>
        </w:rPr>
        <w:t>me), and have not been updated.</w:t>
      </w:r>
    </w:p>
    <w:p w14:paraId="3FB5C22D" w14:textId="77777777" w:rsidR="00274BD9" w:rsidRDefault="00274BD9" w:rsidP="00274BD9"/>
    <w:p w14:paraId="3AE71662" w14:textId="77777777" w:rsidR="00274BD9" w:rsidRDefault="00274BD9" w:rsidP="00274BD9">
      <w:pPr>
        <w:rPr>
          <w:i/>
          <w:lang w:bidi="ar-SA"/>
        </w:rPr>
      </w:pPr>
      <w:r>
        <w:rPr>
          <w:i/>
          <w:lang w:bidi="ar-SA"/>
        </w:rPr>
        <w:t>Labelling requirements</w:t>
      </w:r>
    </w:p>
    <w:p w14:paraId="4E5285DE" w14:textId="77777777" w:rsidR="00274BD9" w:rsidRDefault="00274BD9" w:rsidP="00274BD9">
      <w:pPr>
        <w:rPr>
          <w:i/>
          <w:lang w:bidi="ar-SA"/>
        </w:rPr>
      </w:pPr>
    </w:p>
    <w:p w14:paraId="4EE66E70" w14:textId="6B9E3AA3" w:rsidR="00274BD9" w:rsidRDefault="00274BD9" w:rsidP="00274BD9">
      <w:pPr>
        <w:rPr>
          <w:lang w:bidi="ar-SA"/>
        </w:rPr>
      </w:pPr>
      <w:r>
        <w:rPr>
          <w:lang w:bidi="ar-SA"/>
        </w:rPr>
        <w:t>Paragraph 1.1.1—10(8) requires that food for sale must comply with all relevant labelling requirem</w:t>
      </w:r>
      <w:r w:rsidR="00B429D7">
        <w:rPr>
          <w:lang w:bidi="ar-SA"/>
        </w:rPr>
        <w:t>ents in the Code for that food.</w:t>
      </w:r>
    </w:p>
    <w:p w14:paraId="7927A1E4" w14:textId="77777777" w:rsidR="00274BD9" w:rsidRDefault="00274BD9" w:rsidP="00274BD9">
      <w:pPr>
        <w:rPr>
          <w:lang w:bidi="ar-SA"/>
        </w:rPr>
      </w:pPr>
    </w:p>
    <w:p w14:paraId="007A948E" w14:textId="3A6F08A0" w:rsidR="00274BD9" w:rsidRDefault="00274BD9" w:rsidP="00274BD9">
      <w:pPr>
        <w:rPr>
          <w:lang w:bidi="ar-SA"/>
        </w:rPr>
      </w:pPr>
      <w:r>
        <w:rPr>
          <w:lang w:bidi="ar-SA"/>
        </w:rPr>
        <w:t xml:space="preserve">For this purpose, section 1.5.3—9 sets out the labelling requirements for foods for sale that have been irradiated, or for foods for sale that have an ingredient or component that </w:t>
      </w:r>
      <w:r w:rsidR="003F22FC">
        <w:rPr>
          <w:lang w:bidi="ar-SA"/>
        </w:rPr>
        <w:t xml:space="preserve">has </w:t>
      </w:r>
      <w:r>
        <w:rPr>
          <w:lang w:bidi="ar-SA"/>
        </w:rPr>
        <w:t>been irradiated.</w:t>
      </w:r>
    </w:p>
    <w:p w14:paraId="79A1AE46" w14:textId="77777777" w:rsidR="00274BD9" w:rsidRDefault="00274BD9" w:rsidP="00274BD9">
      <w:pPr>
        <w:rPr>
          <w:lang w:bidi="ar-SA"/>
        </w:rPr>
      </w:pPr>
    </w:p>
    <w:p w14:paraId="597B49EB" w14:textId="0F2096B7" w:rsidR="00274BD9" w:rsidRDefault="00274BD9" w:rsidP="00274BD9">
      <w:pPr>
        <w:rPr>
          <w:lang w:bidi="ar-SA"/>
        </w:rPr>
      </w:pPr>
      <w:r>
        <w:rPr>
          <w:szCs w:val="22"/>
          <w:lang w:bidi="ar-SA"/>
        </w:rPr>
        <w:t xml:space="preserve">The Code generally requires food labels to include a statement of ingredients. </w:t>
      </w:r>
      <w:r w:rsidRPr="001C0CCC">
        <w:rPr>
          <w:szCs w:val="22"/>
          <w:lang w:bidi="ar-SA"/>
        </w:rPr>
        <w:t xml:space="preserve">Standard 1.2.4 sets out the requirements for statement of ingredients. Section 1.2.4—4 </w:t>
      </w:r>
      <w:r>
        <w:rPr>
          <w:rFonts w:cs="Arial"/>
          <w:szCs w:val="22"/>
          <w:lang w:bidi="ar-SA"/>
        </w:rPr>
        <w:t xml:space="preserve">requires </w:t>
      </w:r>
      <w:r w:rsidRPr="005E3BF9">
        <w:rPr>
          <w:rFonts w:cs="Arial"/>
          <w:szCs w:val="22"/>
        </w:rPr>
        <w:t xml:space="preserve">a statement of ingredients </w:t>
      </w:r>
      <w:r>
        <w:rPr>
          <w:rFonts w:cs="Arial"/>
          <w:szCs w:val="22"/>
        </w:rPr>
        <w:t>to</w:t>
      </w:r>
      <w:r w:rsidRPr="005E3BF9">
        <w:rPr>
          <w:rFonts w:cs="Arial"/>
          <w:szCs w:val="22"/>
        </w:rPr>
        <w:t xml:space="preserve"> identify each ingredient </w:t>
      </w:r>
      <w:r w:rsidRPr="001C0CCC">
        <w:rPr>
          <w:rFonts w:cs="Arial"/>
          <w:szCs w:val="22"/>
          <w:lang w:bidi="ar-SA"/>
        </w:rPr>
        <w:t>by</w:t>
      </w:r>
      <w:r w:rsidRPr="001C0CCC">
        <w:rPr>
          <w:szCs w:val="22"/>
          <w:lang w:bidi="ar-SA"/>
        </w:rPr>
        <w:t xml:space="preserve"> </w:t>
      </w:r>
      <w:r>
        <w:rPr>
          <w:szCs w:val="22"/>
          <w:lang w:bidi="ar-SA"/>
        </w:rPr>
        <w:t>a common</w:t>
      </w:r>
      <w:r w:rsidR="00E25675">
        <w:rPr>
          <w:szCs w:val="22"/>
          <w:lang w:bidi="ar-SA"/>
        </w:rPr>
        <w:t>ly known name, a</w:t>
      </w:r>
      <w:r>
        <w:rPr>
          <w:szCs w:val="22"/>
          <w:lang w:bidi="ar-SA"/>
        </w:rPr>
        <w:t xml:space="preserve"> name</w:t>
      </w:r>
      <w:r w:rsidR="00E25675">
        <w:rPr>
          <w:szCs w:val="22"/>
          <w:lang w:bidi="ar-SA"/>
        </w:rPr>
        <w:t xml:space="preserve"> describing the </w:t>
      </w:r>
      <w:r w:rsidR="00DB7C23">
        <w:rPr>
          <w:szCs w:val="22"/>
          <w:lang w:bidi="ar-SA"/>
        </w:rPr>
        <w:t>ingredient’s</w:t>
      </w:r>
      <w:r w:rsidR="00E25675">
        <w:rPr>
          <w:szCs w:val="22"/>
          <w:lang w:bidi="ar-SA"/>
        </w:rPr>
        <w:t xml:space="preserve"> true nature</w:t>
      </w:r>
      <w:r>
        <w:rPr>
          <w:szCs w:val="22"/>
          <w:lang w:bidi="ar-SA"/>
        </w:rPr>
        <w:t xml:space="preserve">, or a </w:t>
      </w:r>
      <w:r w:rsidRPr="005E3BF9">
        <w:rPr>
          <w:rFonts w:cs="Arial"/>
          <w:szCs w:val="22"/>
        </w:rPr>
        <w:t xml:space="preserve">generic name </w:t>
      </w:r>
      <w:r w:rsidR="00E25675">
        <w:rPr>
          <w:rFonts w:cs="Arial"/>
          <w:szCs w:val="22"/>
        </w:rPr>
        <w:t>that</w:t>
      </w:r>
      <w:r>
        <w:rPr>
          <w:rFonts w:cs="Arial"/>
          <w:szCs w:val="22"/>
        </w:rPr>
        <w:t xml:space="preserve"> </w:t>
      </w:r>
      <w:r w:rsidRPr="005E3BF9">
        <w:rPr>
          <w:rFonts w:cs="Arial"/>
          <w:szCs w:val="22"/>
        </w:rPr>
        <w:t>is specified in Schedule 10</w:t>
      </w:r>
      <w:r w:rsidR="00E25675">
        <w:rPr>
          <w:rFonts w:cs="Arial"/>
          <w:szCs w:val="22"/>
        </w:rPr>
        <w:t xml:space="preserve"> and in accordance with any conditions specified in that Schedule</w:t>
      </w:r>
      <w:r>
        <w:rPr>
          <w:rFonts w:cs="Arial"/>
          <w:szCs w:val="22"/>
        </w:rPr>
        <w:t>.</w:t>
      </w:r>
      <w:r w:rsidRPr="001C0CCC" w:rsidDel="00DD09DA">
        <w:rPr>
          <w:szCs w:val="22"/>
          <w:lang w:bidi="ar-SA"/>
        </w:rPr>
        <w:t xml:space="preserve"> </w:t>
      </w:r>
      <w:r w:rsidRPr="001C0CCC">
        <w:rPr>
          <w:szCs w:val="22"/>
          <w:lang w:bidi="ar-SA"/>
        </w:rPr>
        <w:t>Schedule 10 includes the generic names ‘herbs’ and ‘spices’</w:t>
      </w:r>
      <w:r>
        <w:rPr>
          <w:lang w:bidi="ar-SA"/>
        </w:rPr>
        <w:t>.</w:t>
      </w:r>
    </w:p>
    <w:p w14:paraId="172B79BA" w14:textId="77777777" w:rsidR="00D64D26" w:rsidRDefault="00274BD9" w:rsidP="00274BD9">
      <w:pPr>
        <w:pStyle w:val="Heading2"/>
        <w:rPr>
          <w:u w:color="FFFF00"/>
        </w:rPr>
      </w:pPr>
      <w:bookmarkStart w:id="29" w:name="_Toc19270483"/>
      <w:r w:rsidRPr="007A53BF">
        <w:rPr>
          <w:u w:color="FFFF00"/>
        </w:rPr>
        <w:t>1.4</w:t>
      </w:r>
      <w:r w:rsidRPr="007A53BF">
        <w:rPr>
          <w:u w:color="FFFF00"/>
        </w:rPr>
        <w:tab/>
      </w:r>
      <w:r w:rsidR="00D64D26">
        <w:rPr>
          <w:u w:color="FFFF00"/>
        </w:rPr>
        <w:t>International standards</w:t>
      </w:r>
      <w:bookmarkEnd w:id="29"/>
    </w:p>
    <w:p w14:paraId="55909682" w14:textId="76EF0041" w:rsidR="00D64D26" w:rsidRPr="004460AD" w:rsidRDefault="00D64D26" w:rsidP="00D64D26">
      <w:pPr>
        <w:rPr>
          <w:lang w:bidi="ar-SA"/>
        </w:rPr>
      </w:pPr>
      <w:r>
        <w:rPr>
          <w:lang w:eastAsia="en-AU" w:bidi="ar-SA"/>
        </w:rPr>
        <w:t xml:space="preserve">Irradiation of herbs and spices is permitted in a number of countries. </w:t>
      </w:r>
      <w:r w:rsidRPr="00B51539">
        <w:rPr>
          <w:rFonts w:cs="Arial"/>
        </w:rPr>
        <w:t xml:space="preserve">Other countries such as the </w:t>
      </w:r>
      <w:r>
        <w:rPr>
          <w:rFonts w:cs="Arial"/>
        </w:rPr>
        <w:t xml:space="preserve">European Union, Canada and the United States do not have specific and confined lists of </w:t>
      </w:r>
      <w:r w:rsidRPr="00B51539">
        <w:rPr>
          <w:rFonts w:cs="Arial"/>
        </w:rPr>
        <w:t xml:space="preserve">herbs and spices </w:t>
      </w:r>
      <w:r>
        <w:rPr>
          <w:rFonts w:cs="Arial"/>
        </w:rPr>
        <w:t xml:space="preserve">permitted to be irradiated </w:t>
      </w:r>
      <w:r w:rsidRPr="00B51539">
        <w:rPr>
          <w:rFonts w:cs="Arial"/>
        </w:rPr>
        <w:t>in their regulations</w:t>
      </w:r>
      <w:r>
        <w:rPr>
          <w:rFonts w:cs="Arial"/>
        </w:rPr>
        <w:t>, and Codex texts contain various definitions depending on the purpose of the Codex committee</w:t>
      </w:r>
      <w:r w:rsidRPr="00B51539">
        <w:rPr>
          <w:rFonts w:cs="Arial"/>
        </w:rPr>
        <w:t>.</w:t>
      </w:r>
      <w:r>
        <w:rPr>
          <w:rFonts w:cs="Arial"/>
        </w:rPr>
        <w:t xml:space="preserve"> A summary of these requirements </w:t>
      </w:r>
      <w:r w:rsidR="00F62F8A">
        <w:rPr>
          <w:rFonts w:cs="Arial"/>
        </w:rPr>
        <w:t>is</w:t>
      </w:r>
      <w:r>
        <w:rPr>
          <w:rFonts w:cs="Arial"/>
        </w:rPr>
        <w:t xml:space="preserve"> provided below while more detail is provided in Supporting Document 1.</w:t>
      </w:r>
    </w:p>
    <w:p w14:paraId="26EAE832" w14:textId="77777777" w:rsidR="00D64D26" w:rsidRPr="008E30BA" w:rsidRDefault="00D64D26" w:rsidP="00D64D26">
      <w:pPr>
        <w:pStyle w:val="Heading3"/>
      </w:pPr>
      <w:bookmarkStart w:id="30" w:name="_Toc509839354"/>
      <w:bookmarkStart w:id="31" w:name="_Toc969342"/>
      <w:bookmarkStart w:id="32" w:name="_Toc3459320"/>
      <w:bookmarkStart w:id="33" w:name="_Toc3468380"/>
      <w:bookmarkStart w:id="34" w:name="_Toc9242296"/>
      <w:bookmarkStart w:id="35" w:name="_Toc19270484"/>
      <w:r w:rsidRPr="008E30BA">
        <w:t>1.4.1</w:t>
      </w:r>
      <w:r w:rsidRPr="008E30BA">
        <w:tab/>
        <w:t>Codex Alimentarius</w:t>
      </w:r>
      <w:bookmarkEnd w:id="30"/>
      <w:bookmarkEnd w:id="31"/>
      <w:bookmarkEnd w:id="32"/>
      <w:bookmarkEnd w:id="33"/>
      <w:bookmarkEnd w:id="34"/>
      <w:bookmarkEnd w:id="35"/>
    </w:p>
    <w:p w14:paraId="1CDAA061" w14:textId="77777777" w:rsidR="00D64D26" w:rsidRDefault="00D64D26" w:rsidP="00D64D26">
      <w:pPr>
        <w:rPr>
          <w:rFonts w:cs="Arial"/>
        </w:rPr>
      </w:pPr>
      <w:r>
        <w:rPr>
          <w:rFonts w:cs="Arial"/>
        </w:rPr>
        <w:t xml:space="preserve">Three Codex committees have standards, guidelines or Codes of Practice applicable to the definitions of herbs and spices. These are </w:t>
      </w:r>
      <w:r w:rsidRPr="00CF3410">
        <w:rPr>
          <w:rFonts w:cs="Arial"/>
        </w:rPr>
        <w:t>CCPR,</w:t>
      </w:r>
      <w:r>
        <w:rPr>
          <w:rFonts w:cs="Arial"/>
        </w:rPr>
        <w:t xml:space="preserve"> the Codex Committee on Food Hygiene, </w:t>
      </w:r>
      <w:r w:rsidRPr="00727AD1">
        <w:rPr>
          <w:rFonts w:cs="Arial"/>
        </w:rPr>
        <w:t xml:space="preserve">and </w:t>
      </w:r>
      <w:r>
        <w:rPr>
          <w:rFonts w:cs="Arial"/>
        </w:rPr>
        <w:t>the Codex Committee on Spices and Culinary Herbs. There is no single Codex definition for herbs and spices that is consistent across all Codex texts, as the purpose of each Codex committee differs.</w:t>
      </w:r>
    </w:p>
    <w:p w14:paraId="0A477764" w14:textId="77777777" w:rsidR="00D64D26" w:rsidRDefault="00D64D26" w:rsidP="00D64D26">
      <w:pPr>
        <w:rPr>
          <w:rFonts w:cs="Arial"/>
        </w:rPr>
      </w:pPr>
    </w:p>
    <w:p w14:paraId="72BBFC1C" w14:textId="145AD784" w:rsidR="00D64D26" w:rsidRDefault="00D64D26" w:rsidP="00D64D26">
      <w:pPr>
        <w:rPr>
          <w:rFonts w:cs="Arial"/>
        </w:rPr>
      </w:pPr>
      <w:r>
        <w:rPr>
          <w:rFonts w:cs="Arial"/>
        </w:rPr>
        <w:t xml:space="preserve">The descriptions and commodity lists in Schedule 22 were based on the CCPR guidelines in </w:t>
      </w:r>
      <w:r>
        <w:rPr>
          <w:rFonts w:cs="Arial"/>
        </w:rPr>
        <w:lastRenderedPageBreak/>
        <w:t>place and the foods listed in the S</w:t>
      </w:r>
      <w:r>
        <w:rPr>
          <w:lang w:bidi="ar-SA"/>
        </w:rPr>
        <w:t>chedule to Standard 1.4.2</w:t>
      </w:r>
      <w:r>
        <w:rPr>
          <w:rFonts w:cs="Arial"/>
        </w:rPr>
        <w:t xml:space="preserve"> (e.g. commodities grown a</w:t>
      </w:r>
      <w:r w:rsidR="00B95202">
        <w:rPr>
          <w:rFonts w:cs="Arial"/>
        </w:rPr>
        <w:t>nd/</w:t>
      </w:r>
      <w:r>
        <w:rPr>
          <w:rFonts w:cs="Arial"/>
        </w:rPr>
        <w:t>or traded in Australia) at the time the Schedule was originally developed.</w:t>
      </w:r>
    </w:p>
    <w:p w14:paraId="30C3B4A2" w14:textId="77777777" w:rsidR="00D64D26" w:rsidRDefault="00D64D26" w:rsidP="00D64D26">
      <w:pPr>
        <w:rPr>
          <w:u w:color="FFFF00"/>
          <w:lang w:val="en-US"/>
        </w:rPr>
      </w:pPr>
    </w:p>
    <w:p w14:paraId="5EF58B6F" w14:textId="77777777" w:rsidR="00D64D26" w:rsidRDefault="00D64D26" w:rsidP="00D64D26">
      <w:pPr>
        <w:rPr>
          <w:rFonts w:cs="Arial"/>
        </w:rPr>
      </w:pPr>
      <w:r>
        <w:rPr>
          <w:rFonts w:cs="Arial"/>
        </w:rPr>
        <w:t>The General Standard for Irradiated Foods sets out the general requirements for food irradiation (CCFH 1983), but does not set requirements for individual foods.</w:t>
      </w:r>
    </w:p>
    <w:p w14:paraId="0CF30056" w14:textId="77777777" w:rsidR="00D64D26" w:rsidRPr="008E30BA" w:rsidRDefault="00D64D26" w:rsidP="00D64D26">
      <w:pPr>
        <w:pStyle w:val="Heading3"/>
      </w:pPr>
      <w:bookmarkStart w:id="36" w:name="_Toc969343"/>
      <w:bookmarkStart w:id="37" w:name="_Toc3459321"/>
      <w:bookmarkStart w:id="38" w:name="_Toc3468381"/>
      <w:bookmarkStart w:id="39" w:name="_Toc9242297"/>
      <w:bookmarkStart w:id="40" w:name="_Toc19270485"/>
      <w:r w:rsidRPr="008E30BA">
        <w:t>1.4.2</w:t>
      </w:r>
      <w:r w:rsidRPr="008E30BA">
        <w:tab/>
        <w:t>European Union</w:t>
      </w:r>
      <w:bookmarkEnd w:id="36"/>
      <w:bookmarkEnd w:id="37"/>
      <w:bookmarkEnd w:id="38"/>
      <w:bookmarkEnd w:id="39"/>
      <w:bookmarkEnd w:id="40"/>
    </w:p>
    <w:p w14:paraId="6160A301" w14:textId="77777777" w:rsidR="00D64D26" w:rsidRDefault="00D64D26" w:rsidP="00D64D26">
      <w:pPr>
        <w:rPr>
          <w:rFonts w:cs="Arial"/>
        </w:rPr>
      </w:pPr>
      <w:r>
        <w:rPr>
          <w:rFonts w:cs="Arial"/>
        </w:rPr>
        <w:t>Irradiation of herbs and spices is regulated under Directive 1999/3/EC (EC 1999). Dried aromatic herbs, spices and vegetable seasonings are permitted to be irradiated. Herbs and spices are not defined.</w:t>
      </w:r>
    </w:p>
    <w:p w14:paraId="535A4D4E" w14:textId="77777777" w:rsidR="00D64D26" w:rsidRPr="008E30BA" w:rsidRDefault="00D64D26" w:rsidP="00D64D26">
      <w:pPr>
        <w:pStyle w:val="Heading3"/>
      </w:pPr>
      <w:bookmarkStart w:id="41" w:name="_Toc969344"/>
      <w:bookmarkStart w:id="42" w:name="_Toc3459322"/>
      <w:bookmarkStart w:id="43" w:name="_Toc3468382"/>
      <w:bookmarkStart w:id="44" w:name="_Toc9242298"/>
      <w:bookmarkStart w:id="45" w:name="_Toc19270486"/>
      <w:r w:rsidRPr="008E30BA">
        <w:t>1.4.3</w:t>
      </w:r>
      <w:r w:rsidRPr="008E30BA">
        <w:tab/>
        <w:t>Canada</w:t>
      </w:r>
      <w:bookmarkEnd w:id="41"/>
      <w:bookmarkEnd w:id="42"/>
      <w:bookmarkEnd w:id="43"/>
      <w:bookmarkEnd w:id="44"/>
      <w:bookmarkEnd w:id="45"/>
    </w:p>
    <w:p w14:paraId="4A549169" w14:textId="77777777" w:rsidR="00D64D26" w:rsidRDefault="00D64D26" w:rsidP="00D64D26">
      <w:pPr>
        <w:rPr>
          <w:rFonts w:cs="Arial"/>
        </w:rPr>
      </w:pPr>
      <w:r>
        <w:rPr>
          <w:rFonts w:cs="Arial"/>
        </w:rPr>
        <w:t>The Food and Drug Regulations Division 26 Food Irradiation (CFDR 2019) permits irradiation of whole and ground spices and dehydrated seasoning preparations. Spices and seasonings are not defined in the Canada Food and Drug Regulations.</w:t>
      </w:r>
    </w:p>
    <w:p w14:paraId="295B4E73" w14:textId="77777777" w:rsidR="00D64D26" w:rsidRPr="008E30BA" w:rsidRDefault="00D64D26" w:rsidP="00D64D26">
      <w:pPr>
        <w:pStyle w:val="Heading3"/>
      </w:pPr>
      <w:bookmarkStart w:id="46" w:name="_Toc9242299"/>
      <w:bookmarkStart w:id="47" w:name="_Toc19270487"/>
      <w:r w:rsidRPr="008E30BA">
        <w:t>1.4.4</w:t>
      </w:r>
      <w:r w:rsidRPr="008E30BA">
        <w:tab/>
        <w:t>United States</w:t>
      </w:r>
      <w:bookmarkEnd w:id="46"/>
      <w:bookmarkEnd w:id="47"/>
    </w:p>
    <w:p w14:paraId="11A1BE4E" w14:textId="29F8B235" w:rsidR="00274BD9" w:rsidRDefault="00D64D26" w:rsidP="00274BD9">
      <w:pPr>
        <w:rPr>
          <w:lang w:bidi="ar-SA"/>
        </w:rPr>
      </w:pPr>
      <w:r>
        <w:rPr>
          <w:rFonts w:cs="Arial"/>
        </w:rPr>
        <w:t>The United States Food and Drug Administration Code of Federal Regulations (USFDA 2018)</w:t>
      </w:r>
      <w:r w:rsidRPr="00515D42">
        <w:rPr>
          <w:rFonts w:cs="Arial"/>
        </w:rPr>
        <w:t xml:space="preserve"> permits the use of ionizing radiation for the treatment of food, including culinary herbs, seeds and spices</w:t>
      </w:r>
      <w:r>
        <w:rPr>
          <w:rFonts w:cs="Arial"/>
        </w:rPr>
        <w:t>. Spices are defined in separate guidance. While a number of herbs are described, there is no general definition of herbs.</w:t>
      </w:r>
    </w:p>
    <w:p w14:paraId="75E79CA8" w14:textId="6C3BCC6D" w:rsidR="007A53BF" w:rsidRPr="005D2EA9" w:rsidRDefault="007A53BF" w:rsidP="00CE59AA">
      <w:pPr>
        <w:pStyle w:val="Heading2"/>
        <w:rPr>
          <w:u w:color="FFFF00"/>
        </w:rPr>
      </w:pPr>
      <w:bookmarkStart w:id="48" w:name="_Toc19270488"/>
      <w:r w:rsidRPr="005D2EA9">
        <w:rPr>
          <w:u w:color="FFFF00"/>
        </w:rPr>
        <w:t>1.</w:t>
      </w:r>
      <w:r w:rsidR="00274BD9" w:rsidRPr="005D2EA9">
        <w:rPr>
          <w:u w:color="FFFF00"/>
        </w:rPr>
        <w:t>5</w:t>
      </w:r>
      <w:r w:rsidRPr="005D2EA9">
        <w:rPr>
          <w:u w:color="FFFF00"/>
        </w:rPr>
        <w:tab/>
        <w:t>Reasons for accepting Application</w:t>
      </w:r>
      <w:bookmarkEnd w:id="25"/>
      <w:bookmarkEnd w:id="48"/>
      <w:r w:rsidRPr="005D2EA9">
        <w:rPr>
          <w:u w:color="FFFF00"/>
        </w:rPr>
        <w:t xml:space="preserve"> </w:t>
      </w:r>
      <w:bookmarkEnd w:id="26"/>
      <w:bookmarkEnd w:id="27"/>
    </w:p>
    <w:bookmarkEnd w:id="28"/>
    <w:p w14:paraId="5171D4E3" w14:textId="77777777" w:rsidR="007A53BF" w:rsidRPr="005D2EA9" w:rsidRDefault="007A53BF" w:rsidP="007A53BF">
      <w:r w:rsidRPr="005D2EA9">
        <w:t>The Application was accepted for assessment because:</w:t>
      </w:r>
    </w:p>
    <w:p w14:paraId="1700EC0C" w14:textId="77777777" w:rsidR="007A53BF" w:rsidRPr="005D2EA9" w:rsidRDefault="007A53BF" w:rsidP="007A53BF"/>
    <w:p w14:paraId="196C4B33" w14:textId="48931465" w:rsidR="007A53BF" w:rsidRPr="005D2EA9" w:rsidRDefault="007A53BF" w:rsidP="007A53BF">
      <w:pPr>
        <w:pStyle w:val="FSBullet1"/>
      </w:pPr>
      <w:r w:rsidRPr="005D2EA9">
        <w:t>it complied with the procedural requirements under subsection 22(2)</w:t>
      </w:r>
      <w:r w:rsidR="00E335EF">
        <w:t xml:space="preserve"> of the FSANZ Act; and</w:t>
      </w:r>
    </w:p>
    <w:p w14:paraId="5509517B" w14:textId="62ECD6E1" w:rsidR="007A53BF" w:rsidRPr="005D2EA9" w:rsidRDefault="007A53BF" w:rsidP="00726124">
      <w:pPr>
        <w:pStyle w:val="FSBullet1"/>
      </w:pPr>
      <w:r w:rsidRPr="005D2EA9">
        <w:t>it related to a matter that warranted the variati</w:t>
      </w:r>
      <w:r w:rsidR="00D64D26" w:rsidRPr="005D2EA9">
        <w:t>on of a food regulatory measure</w:t>
      </w:r>
    </w:p>
    <w:p w14:paraId="45CE9FCF" w14:textId="0E7A44E9" w:rsidR="007A53BF" w:rsidRPr="005D2EA9" w:rsidRDefault="007A53BF" w:rsidP="00CE59AA">
      <w:pPr>
        <w:pStyle w:val="Heading2"/>
      </w:pPr>
      <w:bookmarkStart w:id="49" w:name="_Toc370223469"/>
      <w:bookmarkStart w:id="50" w:name="_Toc19270489"/>
      <w:r w:rsidRPr="005D2EA9">
        <w:t>1.</w:t>
      </w:r>
      <w:r w:rsidR="00274BD9" w:rsidRPr="005D2EA9">
        <w:t>6</w:t>
      </w:r>
      <w:r w:rsidRPr="005D2EA9">
        <w:tab/>
        <w:t>Procedure for assessment</w:t>
      </w:r>
      <w:bookmarkEnd w:id="49"/>
      <w:bookmarkEnd w:id="50"/>
    </w:p>
    <w:p w14:paraId="22D59933" w14:textId="4D0CDC4C" w:rsidR="00AF397D" w:rsidRPr="005D2EA9" w:rsidRDefault="00AF397D" w:rsidP="00AF397D">
      <w:r w:rsidRPr="005D2EA9">
        <w:t xml:space="preserve">The Application was assessed under the </w:t>
      </w:r>
      <w:r w:rsidR="00D64D26" w:rsidRPr="005D2EA9">
        <w:t>General</w:t>
      </w:r>
      <w:r w:rsidRPr="005D2EA9">
        <w:t xml:space="preserve"> Procedure.</w:t>
      </w:r>
    </w:p>
    <w:p w14:paraId="7762FA90" w14:textId="04D7E460" w:rsidR="00422EC9" w:rsidRDefault="007A53BF" w:rsidP="00422EC9">
      <w:pPr>
        <w:pStyle w:val="Heading2"/>
      </w:pPr>
      <w:bookmarkStart w:id="51" w:name="_Toc19270490"/>
      <w:r>
        <w:t>1</w:t>
      </w:r>
      <w:r w:rsidR="00422EC9">
        <w:t>.</w:t>
      </w:r>
      <w:r w:rsidR="00274BD9">
        <w:t>7</w:t>
      </w:r>
      <w:r w:rsidR="00422EC9">
        <w:tab/>
      </w:r>
      <w:r w:rsidR="00422EC9" w:rsidRPr="00932F14">
        <w:t>Decision</w:t>
      </w:r>
      <w:bookmarkEnd w:id="51"/>
    </w:p>
    <w:p w14:paraId="2B3359A1" w14:textId="5F24D9EB" w:rsidR="00401ADE" w:rsidRPr="006C06B4" w:rsidRDefault="00422EC9" w:rsidP="002C1A3B">
      <w:r w:rsidRPr="006C06B4">
        <w:t xml:space="preserve">The draft </w:t>
      </w:r>
      <w:r w:rsidR="00E30092" w:rsidRPr="006C06B4">
        <w:t xml:space="preserve">variation </w:t>
      </w:r>
      <w:r w:rsidRPr="006C06B4">
        <w:t>as proposed following assessment was approved without change</w:t>
      </w:r>
      <w:r w:rsidR="00E335EF" w:rsidRPr="006C06B4">
        <w:t xml:space="preserve"> after the consideration of </w:t>
      </w:r>
      <w:r w:rsidR="006C06B4" w:rsidRPr="006C06B4">
        <w:t>submissions. The</w:t>
      </w:r>
      <w:r w:rsidRPr="006C06B4">
        <w:t xml:space="preserve"> </w:t>
      </w:r>
      <w:r w:rsidR="002C1A3B" w:rsidRPr="006C06B4">
        <w:t xml:space="preserve">approved </w:t>
      </w:r>
      <w:r w:rsidRPr="006C06B4">
        <w:t xml:space="preserve">draft </w:t>
      </w:r>
      <w:r w:rsidR="00E30092" w:rsidRPr="006C06B4">
        <w:t>variation</w:t>
      </w:r>
      <w:r w:rsidR="00D64D26" w:rsidRPr="006C06B4">
        <w:t xml:space="preserve"> </w:t>
      </w:r>
      <w:r w:rsidR="005E06C0" w:rsidRPr="006C06B4">
        <w:t xml:space="preserve">is </w:t>
      </w:r>
      <w:r w:rsidRPr="006C06B4">
        <w:t xml:space="preserve">at Attachment A. </w:t>
      </w:r>
      <w:r w:rsidR="006C06B4" w:rsidRPr="006C06B4">
        <w:t xml:space="preserve">The variation takes effect on </w:t>
      </w:r>
      <w:r w:rsidR="00054CCE">
        <w:t xml:space="preserve">the date of </w:t>
      </w:r>
      <w:r w:rsidR="006C06B4" w:rsidRPr="006C06B4">
        <w:t>gazettal.</w:t>
      </w:r>
    </w:p>
    <w:p w14:paraId="6C023DF1" w14:textId="77777777" w:rsidR="00401ADE" w:rsidRDefault="00401ADE" w:rsidP="00401ADE"/>
    <w:p w14:paraId="3C11E358" w14:textId="1FEB878E" w:rsidR="002C1A3B" w:rsidRPr="00D26814" w:rsidRDefault="005E06C0" w:rsidP="002C1A3B">
      <w:pPr>
        <w:rPr>
          <w:u w:val="single"/>
        </w:rPr>
      </w:pPr>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B429D7">
        <w:t>.</w:t>
      </w:r>
    </w:p>
    <w:p w14:paraId="0B6B8474" w14:textId="77777777" w:rsidR="0012388D" w:rsidRDefault="007A53BF" w:rsidP="00755F02">
      <w:pPr>
        <w:pStyle w:val="Heading1"/>
      </w:pPr>
      <w:bookmarkStart w:id="52" w:name="_Toc19270491"/>
      <w:bookmarkStart w:id="53" w:name="_Toc11735630"/>
      <w:bookmarkStart w:id="54" w:name="_Toc29883114"/>
      <w:bookmarkStart w:id="55" w:name="_Toc41906801"/>
      <w:bookmarkStart w:id="56" w:name="_Toc41907548"/>
      <w:bookmarkStart w:id="57" w:name="_Toc120358578"/>
      <w:bookmarkStart w:id="58"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52"/>
    </w:p>
    <w:p w14:paraId="36C513E2" w14:textId="10137D41" w:rsidR="007A53BF" w:rsidRDefault="007A53BF" w:rsidP="007A53BF">
      <w:pPr>
        <w:pStyle w:val="Heading2"/>
      </w:pPr>
      <w:bookmarkStart w:id="59" w:name="_Toc300933438"/>
      <w:bookmarkStart w:id="60" w:name="_Toc370223471"/>
      <w:bookmarkStart w:id="61" w:name="_Toc370225386"/>
      <w:bookmarkStart w:id="62" w:name="_Toc19270492"/>
      <w:bookmarkStart w:id="63" w:name="_Toc286391009"/>
      <w:bookmarkStart w:id="64" w:name="_Toc300933425"/>
      <w:bookmarkStart w:id="65" w:name="_Toc309291838"/>
      <w:bookmarkStart w:id="66" w:name="_Toc309385455"/>
      <w:bookmarkStart w:id="67" w:name="_Toc120358583"/>
      <w:bookmarkStart w:id="68" w:name="_Toc175381440"/>
      <w:r w:rsidRPr="002C1A3B">
        <w:t>2.1</w:t>
      </w:r>
      <w:r w:rsidRPr="002C1A3B">
        <w:tab/>
        <w:t xml:space="preserve">Summary of issues raised </w:t>
      </w:r>
      <w:bookmarkEnd w:id="59"/>
      <w:r w:rsidRPr="002C1A3B">
        <w:t>in submissions</w:t>
      </w:r>
      <w:bookmarkEnd w:id="60"/>
      <w:bookmarkEnd w:id="61"/>
      <w:bookmarkEnd w:id="62"/>
    </w:p>
    <w:p w14:paraId="3C03A321" w14:textId="419BB9B6" w:rsidR="00D64D26" w:rsidRPr="004B180D" w:rsidRDefault="00D64D26" w:rsidP="00D64D26">
      <w:pPr>
        <w:rPr>
          <w:lang w:bidi="ar-SA"/>
        </w:rPr>
      </w:pPr>
      <w:r w:rsidRPr="004B180D">
        <w:rPr>
          <w:lang w:bidi="ar-SA"/>
        </w:rPr>
        <w:t xml:space="preserve">FSANZ </w:t>
      </w:r>
      <w:r>
        <w:rPr>
          <w:lang w:bidi="ar-SA"/>
        </w:rPr>
        <w:t>called for submissions</w:t>
      </w:r>
      <w:r w:rsidRPr="004B180D">
        <w:rPr>
          <w:lang w:bidi="ar-SA"/>
        </w:rPr>
        <w:t xml:space="preserve"> on the </w:t>
      </w:r>
      <w:r w:rsidR="00A210AC">
        <w:rPr>
          <w:lang w:bidi="ar-SA"/>
        </w:rPr>
        <w:t xml:space="preserve">proposed </w:t>
      </w:r>
      <w:r w:rsidRPr="004B180D">
        <w:rPr>
          <w:lang w:bidi="ar-SA"/>
        </w:rPr>
        <w:t xml:space="preserve">draft variation between </w:t>
      </w:r>
      <w:r>
        <w:rPr>
          <w:lang w:bidi="ar-SA"/>
        </w:rPr>
        <w:t>6 June 2019</w:t>
      </w:r>
      <w:r w:rsidRPr="004B180D">
        <w:rPr>
          <w:lang w:bidi="ar-SA"/>
        </w:rPr>
        <w:t xml:space="preserve"> and </w:t>
      </w:r>
      <w:r>
        <w:rPr>
          <w:lang w:bidi="ar-SA"/>
        </w:rPr>
        <w:t>18 July 2019</w:t>
      </w:r>
      <w:r w:rsidRPr="004B180D">
        <w:rPr>
          <w:lang w:bidi="ar-SA"/>
        </w:rPr>
        <w:t>.</w:t>
      </w:r>
    </w:p>
    <w:p w14:paraId="7295F5C9" w14:textId="77777777" w:rsidR="00D64D26" w:rsidRPr="005F63F0" w:rsidRDefault="00D64D26" w:rsidP="00D64D26">
      <w:pPr>
        <w:rPr>
          <w:lang w:bidi="ar-SA"/>
        </w:rPr>
      </w:pPr>
    </w:p>
    <w:p w14:paraId="4ECF00D8" w14:textId="5CE0CD35" w:rsidR="008F3C76" w:rsidRDefault="008F3C76" w:rsidP="00D64D26">
      <w:pPr>
        <w:rPr>
          <w:lang w:bidi="ar-SA"/>
        </w:rPr>
      </w:pPr>
      <w:r>
        <w:rPr>
          <w:lang w:bidi="ar-SA"/>
        </w:rPr>
        <w:lastRenderedPageBreak/>
        <w:t xml:space="preserve">A total of </w:t>
      </w:r>
      <w:r w:rsidR="006A22ED">
        <w:rPr>
          <w:lang w:bidi="ar-SA"/>
        </w:rPr>
        <w:t>eight</w:t>
      </w:r>
      <w:r w:rsidR="00D64D26">
        <w:rPr>
          <w:lang w:bidi="ar-SA"/>
        </w:rPr>
        <w:t xml:space="preserve"> submissions were received</w:t>
      </w:r>
      <w:r>
        <w:rPr>
          <w:lang w:bidi="ar-SA"/>
        </w:rPr>
        <w:t>;</w:t>
      </w:r>
      <w:r w:rsidR="00D64D26">
        <w:rPr>
          <w:lang w:bidi="ar-SA"/>
        </w:rPr>
        <w:t xml:space="preserve"> </w:t>
      </w:r>
      <w:r>
        <w:rPr>
          <w:lang w:bidi="ar-SA"/>
        </w:rPr>
        <w:t>three from jurisdictions, three from food businesses in Australia that import and sell South African foods, one from Food Irradiation Watch &amp; Friends of the Earth Brisbane</w:t>
      </w:r>
      <w:r w:rsidR="00D52DD2">
        <w:rPr>
          <w:lang w:bidi="ar-SA"/>
        </w:rPr>
        <w:t xml:space="preserve"> (FIWFEB)</w:t>
      </w:r>
      <w:r>
        <w:rPr>
          <w:lang w:bidi="ar-SA"/>
        </w:rPr>
        <w:t>, and one from the New Zealand Food and Grocery Council</w:t>
      </w:r>
      <w:r w:rsidR="00D32546">
        <w:rPr>
          <w:lang w:bidi="ar-SA"/>
        </w:rPr>
        <w:t xml:space="preserve"> (NZFGC)</w:t>
      </w:r>
      <w:r>
        <w:rPr>
          <w:lang w:bidi="ar-SA"/>
        </w:rPr>
        <w:t>.</w:t>
      </w:r>
    </w:p>
    <w:p w14:paraId="398B33D0" w14:textId="77777777" w:rsidR="008F3C76" w:rsidRDefault="008F3C76" w:rsidP="00D64D26">
      <w:pPr>
        <w:rPr>
          <w:lang w:bidi="ar-SA"/>
        </w:rPr>
      </w:pPr>
    </w:p>
    <w:p w14:paraId="49851E9C" w14:textId="68341855" w:rsidR="008F3C76" w:rsidRDefault="00E96DE0" w:rsidP="00D64D26">
      <w:pPr>
        <w:rPr>
          <w:lang w:bidi="ar-SA"/>
        </w:rPr>
      </w:pPr>
      <w:r>
        <w:rPr>
          <w:lang w:bidi="ar-SA"/>
        </w:rPr>
        <w:t xml:space="preserve">The three </w:t>
      </w:r>
      <w:r w:rsidR="008F3C76">
        <w:rPr>
          <w:lang w:bidi="ar-SA"/>
        </w:rPr>
        <w:t>Australian food businesses</w:t>
      </w:r>
      <w:r>
        <w:rPr>
          <w:lang w:bidi="ar-SA"/>
        </w:rPr>
        <w:t xml:space="preserve"> </w:t>
      </w:r>
      <w:r w:rsidR="00D32546">
        <w:rPr>
          <w:lang w:bidi="ar-SA"/>
        </w:rPr>
        <w:t xml:space="preserve">and two jurisdictions </w:t>
      </w:r>
      <w:r>
        <w:rPr>
          <w:lang w:bidi="ar-SA"/>
        </w:rPr>
        <w:t xml:space="preserve">fully </w:t>
      </w:r>
      <w:r w:rsidR="008F3C76">
        <w:rPr>
          <w:lang w:bidi="ar-SA"/>
        </w:rPr>
        <w:t xml:space="preserve">supported the </w:t>
      </w:r>
      <w:r w:rsidR="00802894">
        <w:rPr>
          <w:lang w:bidi="ar-SA"/>
        </w:rPr>
        <w:t xml:space="preserve">proposed </w:t>
      </w:r>
      <w:r w:rsidR="008F3C76">
        <w:rPr>
          <w:lang w:bidi="ar-SA"/>
        </w:rPr>
        <w:t xml:space="preserve">draft variation. </w:t>
      </w:r>
      <w:r>
        <w:rPr>
          <w:lang w:bidi="ar-SA"/>
        </w:rPr>
        <w:t xml:space="preserve">The FIWFEB supported the application but suggested a change to the drafting. </w:t>
      </w:r>
      <w:r w:rsidR="00D32546">
        <w:rPr>
          <w:lang w:bidi="ar-SA"/>
        </w:rPr>
        <w:t xml:space="preserve">The NZFGC supported </w:t>
      </w:r>
      <w:r w:rsidR="005E297C">
        <w:rPr>
          <w:lang w:bidi="ar-SA"/>
        </w:rPr>
        <w:t xml:space="preserve">an </w:t>
      </w:r>
      <w:r w:rsidR="00D32546">
        <w:rPr>
          <w:lang w:bidi="ar-SA"/>
        </w:rPr>
        <w:t>amendment being sought but not the method of drafting.</w:t>
      </w:r>
      <w:r w:rsidR="00D72D1E">
        <w:rPr>
          <w:lang w:bidi="ar-SA"/>
        </w:rPr>
        <w:t xml:space="preserve"> One </w:t>
      </w:r>
      <w:r>
        <w:rPr>
          <w:lang w:bidi="ar-SA"/>
        </w:rPr>
        <w:t>j</w:t>
      </w:r>
      <w:r w:rsidR="00D72D1E">
        <w:rPr>
          <w:lang w:bidi="ar-SA"/>
        </w:rPr>
        <w:t>urisdiction considered that the proposed variation did not provide further regulatory clarity.</w:t>
      </w:r>
      <w:r w:rsidR="00480853">
        <w:rPr>
          <w:lang w:bidi="ar-SA"/>
        </w:rPr>
        <w:t xml:space="preserve"> </w:t>
      </w:r>
    </w:p>
    <w:p w14:paraId="540CFD2C" w14:textId="58599C2A" w:rsidR="00E4308D" w:rsidRDefault="00E4308D" w:rsidP="00D64D26">
      <w:pPr>
        <w:rPr>
          <w:lang w:bidi="ar-SA"/>
        </w:rPr>
      </w:pPr>
    </w:p>
    <w:p w14:paraId="4BDE6BCE" w14:textId="2571356D" w:rsidR="009919C3" w:rsidRDefault="00E335EF" w:rsidP="003A7882">
      <w:pPr>
        <w:rPr>
          <w:rFonts w:cs="Arial"/>
          <w:b/>
        </w:rPr>
      </w:pPr>
      <w:r>
        <w:rPr>
          <w:lang w:bidi="ar-SA"/>
        </w:rPr>
        <w:t xml:space="preserve">The issues raised </w:t>
      </w:r>
      <w:r w:rsidR="005E07A4">
        <w:rPr>
          <w:lang w:bidi="ar-SA"/>
        </w:rPr>
        <w:t xml:space="preserve">in three submissions have been addressed in </w:t>
      </w:r>
      <w:r>
        <w:rPr>
          <w:lang w:bidi="ar-SA"/>
        </w:rPr>
        <w:t>Table 1 below</w:t>
      </w:r>
      <w:r w:rsidR="00346D4C">
        <w:rPr>
          <w:rStyle w:val="FootnoteReference"/>
          <w:lang w:bidi="ar-SA"/>
        </w:rPr>
        <w:footnoteReference w:id="3"/>
      </w:r>
      <w:r>
        <w:rPr>
          <w:lang w:bidi="ar-SA"/>
        </w:rPr>
        <w:t>.</w:t>
      </w:r>
      <w:r w:rsidR="005E07A4">
        <w:rPr>
          <w:lang w:bidi="ar-SA"/>
        </w:rPr>
        <w:t xml:space="preserve"> </w:t>
      </w:r>
    </w:p>
    <w:p w14:paraId="33259D1F" w14:textId="77777777" w:rsidR="0095786C" w:rsidRDefault="0095786C" w:rsidP="00A91E3B">
      <w:pPr>
        <w:pStyle w:val="FSTableTitle"/>
      </w:pPr>
    </w:p>
    <w:p w14:paraId="5D1138BE" w14:textId="44A6BE46" w:rsidR="00A91E3B" w:rsidRPr="00E96DE0" w:rsidRDefault="00A91E3B" w:rsidP="0095786C">
      <w:pPr>
        <w:pStyle w:val="FSTableTitle"/>
        <w:pBdr>
          <w:bar w:val="single" w:sz="4" w:color="92D050"/>
        </w:pBdr>
        <w:rPr>
          <w:sz w:val="20"/>
          <w:szCs w:val="20"/>
        </w:rPr>
      </w:pPr>
      <w:r w:rsidRPr="00E96DE0">
        <w:rPr>
          <w:sz w:val="20"/>
          <w:szCs w:val="20"/>
        </w:rPr>
        <w:t xml:space="preserve">Table 1: Summary of issues </w:t>
      </w:r>
    </w:p>
    <w:p w14:paraId="78BAB247" w14:textId="77777777" w:rsidR="00A91E3B" w:rsidRPr="00E96DE0" w:rsidRDefault="00A91E3B" w:rsidP="00A91E3B">
      <w:pPr>
        <w:rPr>
          <w:rFonts w:cs="Arial"/>
          <w:sz w:val="20"/>
          <w:szCs w:val="20"/>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3962"/>
      </w:tblGrid>
      <w:tr w:rsidR="00A91E3B" w:rsidRPr="00E96DE0" w14:paraId="4C126B8B" w14:textId="77777777" w:rsidTr="008D07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left w:val="none" w:sz="0" w:space="0" w:color="auto"/>
              <w:bottom w:val="none" w:sz="0" w:space="0" w:color="auto"/>
              <w:right w:val="none" w:sz="0" w:space="0" w:color="auto"/>
            </w:tcBorders>
          </w:tcPr>
          <w:p w14:paraId="2D564528" w14:textId="77777777" w:rsidR="00A91E3B" w:rsidRPr="00E96DE0" w:rsidRDefault="00A91E3B" w:rsidP="00CB691C">
            <w:pPr>
              <w:pStyle w:val="FSTableHeading"/>
              <w:rPr>
                <w:b/>
              </w:rPr>
            </w:pPr>
            <w:r w:rsidRPr="00E96DE0">
              <w:rPr>
                <w:b/>
              </w:rPr>
              <w:t>Issue</w:t>
            </w:r>
          </w:p>
        </w:tc>
        <w:tc>
          <w:tcPr>
            <w:tcW w:w="1275" w:type="dxa"/>
            <w:tcBorders>
              <w:top w:val="none" w:sz="0" w:space="0" w:color="auto"/>
              <w:left w:val="none" w:sz="0" w:space="0" w:color="auto"/>
              <w:bottom w:val="none" w:sz="0" w:space="0" w:color="auto"/>
              <w:right w:val="none" w:sz="0" w:space="0" w:color="auto"/>
            </w:tcBorders>
          </w:tcPr>
          <w:p w14:paraId="61A7D0A4" w14:textId="77777777" w:rsidR="00A91E3B" w:rsidRPr="00E96DE0" w:rsidRDefault="00A91E3B" w:rsidP="00CB691C">
            <w:pPr>
              <w:pStyle w:val="FSTableHeading"/>
              <w:cnfStyle w:val="100000000000" w:firstRow="1" w:lastRow="0" w:firstColumn="0" w:lastColumn="0" w:oddVBand="0" w:evenVBand="0" w:oddHBand="0" w:evenHBand="0" w:firstRowFirstColumn="0" w:firstRowLastColumn="0" w:lastRowFirstColumn="0" w:lastRowLastColumn="0"/>
              <w:rPr>
                <w:b/>
              </w:rPr>
            </w:pPr>
            <w:r w:rsidRPr="00E96DE0">
              <w:rPr>
                <w:b/>
              </w:rPr>
              <w:t>Raised by</w:t>
            </w:r>
          </w:p>
        </w:tc>
        <w:tc>
          <w:tcPr>
            <w:tcW w:w="3962" w:type="dxa"/>
            <w:tcBorders>
              <w:top w:val="none" w:sz="0" w:space="0" w:color="auto"/>
              <w:left w:val="none" w:sz="0" w:space="0" w:color="auto"/>
              <w:bottom w:val="none" w:sz="0" w:space="0" w:color="auto"/>
              <w:right w:val="none" w:sz="0" w:space="0" w:color="auto"/>
            </w:tcBorders>
          </w:tcPr>
          <w:p w14:paraId="7DFC1DDC" w14:textId="1D5B7DB8" w:rsidR="00A91E3B" w:rsidRPr="00E96DE0" w:rsidRDefault="00A91E3B" w:rsidP="00CB691C">
            <w:pPr>
              <w:pStyle w:val="FSTableHeading"/>
              <w:cnfStyle w:val="100000000000" w:firstRow="1" w:lastRow="0" w:firstColumn="0" w:lastColumn="0" w:oddVBand="0" w:evenVBand="0" w:oddHBand="0" w:evenHBand="0" w:firstRowFirstColumn="0" w:firstRowLastColumn="0" w:lastRowFirstColumn="0" w:lastRowLastColumn="0"/>
              <w:rPr>
                <w:b/>
              </w:rPr>
            </w:pPr>
            <w:r w:rsidRPr="00E96DE0">
              <w:rPr>
                <w:b/>
              </w:rPr>
              <w:t xml:space="preserve">FSANZ response </w:t>
            </w:r>
          </w:p>
        </w:tc>
      </w:tr>
      <w:tr w:rsidR="00D52DD2" w:rsidRPr="00E96DE0" w14:paraId="311F7070" w14:textId="77777777" w:rsidTr="008D0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auto"/>
            </w:tcBorders>
          </w:tcPr>
          <w:p w14:paraId="66616144" w14:textId="37992F28" w:rsidR="00D52DD2" w:rsidRPr="00E96DE0" w:rsidRDefault="00D52DD2" w:rsidP="00CB691C">
            <w:pPr>
              <w:pStyle w:val="FSTableText"/>
            </w:pPr>
            <w:r w:rsidRPr="00E96DE0">
              <w:t>Drafting approach</w:t>
            </w:r>
          </w:p>
        </w:tc>
        <w:tc>
          <w:tcPr>
            <w:tcW w:w="1275" w:type="dxa"/>
            <w:tcBorders>
              <w:bottom w:val="single" w:sz="4" w:space="0" w:color="auto"/>
            </w:tcBorders>
          </w:tcPr>
          <w:p w14:paraId="40DD4B5D" w14:textId="77777777" w:rsidR="00D52DD2" w:rsidRPr="00E96DE0" w:rsidRDefault="00D52DD2" w:rsidP="00CB691C">
            <w:pPr>
              <w:pStyle w:val="FSTableText"/>
              <w:cnfStyle w:val="000000100000" w:firstRow="0" w:lastRow="0" w:firstColumn="0" w:lastColumn="0" w:oddVBand="0" w:evenVBand="0" w:oddHBand="1" w:evenHBand="0" w:firstRowFirstColumn="0" w:firstRowLastColumn="0" w:lastRowFirstColumn="0" w:lastRowLastColumn="0"/>
              <w:rPr>
                <w:lang w:bidi="ar-SA"/>
              </w:rPr>
            </w:pPr>
          </w:p>
        </w:tc>
        <w:tc>
          <w:tcPr>
            <w:tcW w:w="3962" w:type="dxa"/>
            <w:tcBorders>
              <w:bottom w:val="single" w:sz="4" w:space="0" w:color="auto"/>
            </w:tcBorders>
          </w:tcPr>
          <w:p w14:paraId="04A10A94" w14:textId="77777777" w:rsidR="00D52DD2" w:rsidRPr="00E96DE0" w:rsidRDefault="00D52DD2" w:rsidP="0020371A">
            <w:pPr>
              <w:cnfStyle w:val="000000100000" w:firstRow="0" w:lastRow="0" w:firstColumn="0" w:lastColumn="0" w:oddVBand="0" w:evenVBand="0" w:oddHBand="1" w:evenHBand="0" w:firstRowFirstColumn="0" w:firstRowLastColumn="0" w:lastRowFirstColumn="0" w:lastRowLastColumn="0"/>
              <w:rPr>
                <w:rFonts w:cs="Arial"/>
                <w:sz w:val="20"/>
                <w:szCs w:val="20"/>
                <w:lang w:val="en-AU"/>
              </w:rPr>
            </w:pPr>
          </w:p>
        </w:tc>
      </w:tr>
      <w:tr w:rsidR="00B471AA" w:rsidRPr="00E96DE0" w14:paraId="2B39B587" w14:textId="77777777" w:rsidTr="008D0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23" w:type="dxa"/>
            <w:tcBorders>
              <w:right w:val="single" w:sz="4" w:space="0" w:color="auto"/>
            </w:tcBorders>
          </w:tcPr>
          <w:p w14:paraId="70F782D4" w14:textId="7543BE34" w:rsidR="00B471AA" w:rsidRPr="00E96DE0" w:rsidRDefault="00B471AA" w:rsidP="00B471AA">
            <w:pPr>
              <w:pStyle w:val="FSTableText"/>
              <w:rPr>
                <w:b w:val="0"/>
                <w:lang w:val="en-AU"/>
              </w:rPr>
            </w:pPr>
            <w:r w:rsidRPr="00E96DE0">
              <w:rPr>
                <w:b w:val="0"/>
                <w:lang w:val="en-AU"/>
              </w:rPr>
              <w:t>The FIWFEB supported the proposed amendment</w:t>
            </w:r>
            <w:r w:rsidR="00E96DE0">
              <w:rPr>
                <w:b w:val="0"/>
                <w:lang w:val="en-AU"/>
              </w:rPr>
              <w:t>s, with the following comment:</w:t>
            </w:r>
          </w:p>
          <w:p w14:paraId="6262EE6F" w14:textId="77777777" w:rsidR="00B471AA" w:rsidRPr="00E96DE0" w:rsidRDefault="00B471AA" w:rsidP="00B471AA">
            <w:pPr>
              <w:pStyle w:val="FSTableText"/>
              <w:rPr>
                <w:b w:val="0"/>
                <w:lang w:val="en-AU"/>
              </w:rPr>
            </w:pPr>
          </w:p>
          <w:p w14:paraId="5C24EED3" w14:textId="7E2B2BAD" w:rsidR="00B471AA" w:rsidRPr="00E96DE0" w:rsidRDefault="00B471AA" w:rsidP="00B471AA">
            <w:pPr>
              <w:pStyle w:val="FSTableText"/>
            </w:pPr>
            <w:r w:rsidRPr="00E96DE0">
              <w:rPr>
                <w:b w:val="0"/>
                <w:lang w:val="en-AU"/>
              </w:rPr>
              <w:t>The definition should be amended to clarify that it is an inclusive definition; that is, by including in the definition an express statement that it is an inclusive definition and that it encompasses a herb or a spice listed or described in Schedule 22</w:t>
            </w:r>
            <w:r w:rsidR="00E96DE0">
              <w:rPr>
                <w:b w:val="0"/>
                <w:lang w:val="en-AU"/>
              </w:rPr>
              <w:t>.</w:t>
            </w:r>
          </w:p>
        </w:tc>
        <w:tc>
          <w:tcPr>
            <w:tcW w:w="1275" w:type="dxa"/>
            <w:tcBorders>
              <w:left w:val="single" w:sz="4" w:space="0" w:color="auto"/>
              <w:bottom w:val="single" w:sz="4" w:space="0" w:color="auto"/>
              <w:right w:val="single" w:sz="4" w:space="0" w:color="auto"/>
            </w:tcBorders>
          </w:tcPr>
          <w:p w14:paraId="0FEAF58A" w14:textId="0FC4F7DD" w:rsidR="00B471AA" w:rsidRPr="00E96DE0" w:rsidRDefault="00B471AA" w:rsidP="00B471AA">
            <w:pPr>
              <w:pStyle w:val="FSTableText"/>
              <w:cnfStyle w:val="000000010000" w:firstRow="0" w:lastRow="0" w:firstColumn="0" w:lastColumn="0" w:oddVBand="0" w:evenVBand="0" w:oddHBand="0" w:evenHBand="1" w:firstRowFirstColumn="0" w:firstRowLastColumn="0" w:lastRowFirstColumn="0" w:lastRowLastColumn="0"/>
              <w:rPr>
                <w:lang w:bidi="ar-SA"/>
              </w:rPr>
            </w:pPr>
            <w:r w:rsidRPr="00E96DE0">
              <w:rPr>
                <w:lang w:bidi="ar-SA"/>
              </w:rPr>
              <w:t>FIWFEB</w:t>
            </w:r>
          </w:p>
        </w:tc>
        <w:tc>
          <w:tcPr>
            <w:tcW w:w="3962" w:type="dxa"/>
            <w:tcBorders>
              <w:left w:val="single" w:sz="4" w:space="0" w:color="auto"/>
            </w:tcBorders>
          </w:tcPr>
          <w:p w14:paraId="78B0DBE4" w14:textId="77777777"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lang w:val="en-AU"/>
              </w:rPr>
            </w:pPr>
            <w:r w:rsidRPr="00E96DE0">
              <w:rPr>
                <w:rFonts w:cs="Arial"/>
                <w:sz w:val="20"/>
                <w:szCs w:val="20"/>
                <w:lang w:val="en-AU"/>
              </w:rPr>
              <w:t xml:space="preserve">Noted. </w:t>
            </w:r>
          </w:p>
          <w:p w14:paraId="33F0B071" w14:textId="77777777"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lang w:val="en-AU"/>
              </w:rPr>
            </w:pPr>
          </w:p>
          <w:p w14:paraId="33ADA735" w14:textId="159575F2"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lang w:val="en-AU"/>
              </w:rPr>
            </w:pPr>
            <w:r w:rsidRPr="00E96DE0">
              <w:rPr>
                <w:rFonts w:cs="Arial"/>
                <w:sz w:val="20"/>
                <w:szCs w:val="20"/>
              </w:rPr>
              <w:t>FIWFEB’s</w:t>
            </w:r>
            <w:r w:rsidRPr="00E96DE0">
              <w:rPr>
                <w:rFonts w:cs="Arial"/>
                <w:sz w:val="20"/>
                <w:szCs w:val="20"/>
                <w:lang w:val="en-AU"/>
              </w:rPr>
              <w:t xml:space="preserve"> suggested amendment is not required. The definition itself states that it is an inclusive definition. The accompanying Explanatory Stateme</w:t>
            </w:r>
            <w:r w:rsidR="00E96DE0">
              <w:rPr>
                <w:rFonts w:cs="Arial"/>
                <w:sz w:val="20"/>
                <w:szCs w:val="20"/>
                <w:lang w:val="en-AU"/>
              </w:rPr>
              <w:t>nt also makes this very clear.</w:t>
            </w:r>
          </w:p>
          <w:p w14:paraId="27F47306" w14:textId="77777777"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lang w:val="en-AU"/>
              </w:rPr>
            </w:pPr>
          </w:p>
          <w:p w14:paraId="67ED6DB1" w14:textId="0C94192E"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lang w:val="en-AU"/>
              </w:rPr>
            </w:pPr>
            <w:r w:rsidRPr="00E96DE0">
              <w:rPr>
                <w:rFonts w:cs="Arial"/>
                <w:sz w:val="20"/>
                <w:szCs w:val="20"/>
                <w:lang w:val="en-AU"/>
              </w:rPr>
              <w:t xml:space="preserve">It is clear from </w:t>
            </w:r>
            <w:r w:rsidR="00F62F8A">
              <w:rPr>
                <w:rFonts w:cs="Arial"/>
                <w:sz w:val="20"/>
                <w:szCs w:val="20"/>
                <w:lang w:val="en-AU"/>
              </w:rPr>
              <w:t xml:space="preserve">the </w:t>
            </w:r>
            <w:r w:rsidRPr="00E96DE0">
              <w:rPr>
                <w:rFonts w:cs="Arial"/>
                <w:sz w:val="20"/>
                <w:szCs w:val="20"/>
                <w:lang w:val="en-AU"/>
              </w:rPr>
              <w:t xml:space="preserve">definition itself and the accompanying Explanatory Statement that the amendment’s effect is that a reference to ‘herb’ or ‘spice’ in section 1.5.3—4 of the Code is a reference to any plant derived material within the commonly accepted and ordinary meaning of ‘herb’ or ‘spice’ (as the case may be) and includes (but is not limited to) a herb or a spice listed or described in Schedule 22. </w:t>
            </w:r>
          </w:p>
          <w:p w14:paraId="43DA5D4A" w14:textId="1EEB0389"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lang w:val="en-AU"/>
              </w:rPr>
            </w:pPr>
          </w:p>
        </w:tc>
      </w:tr>
      <w:tr w:rsidR="00B87D87" w:rsidRPr="00E96DE0" w14:paraId="17857F85" w14:textId="77777777" w:rsidTr="00B471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auto"/>
              <w:right w:val="none" w:sz="0" w:space="0" w:color="auto"/>
            </w:tcBorders>
          </w:tcPr>
          <w:p w14:paraId="7F7464E8" w14:textId="77777777" w:rsidR="00B471AA" w:rsidRPr="00E96DE0" w:rsidRDefault="00B471AA" w:rsidP="00B471AA">
            <w:pPr>
              <w:widowControl/>
              <w:autoSpaceDE w:val="0"/>
              <w:autoSpaceDN w:val="0"/>
              <w:adjustRightInd w:val="0"/>
              <w:rPr>
                <w:rFonts w:eastAsiaTheme="minorHAnsi" w:cs="Arial"/>
                <w:b w:val="0"/>
                <w:color w:val="000000"/>
                <w:sz w:val="20"/>
                <w:szCs w:val="20"/>
                <w:lang w:bidi="ar-SA"/>
              </w:rPr>
            </w:pPr>
            <w:r w:rsidRPr="00E96DE0">
              <w:rPr>
                <w:rFonts w:eastAsiaTheme="minorHAnsi" w:cs="Arial"/>
                <w:b w:val="0"/>
                <w:color w:val="000000"/>
                <w:sz w:val="20"/>
                <w:szCs w:val="20"/>
                <w:lang w:bidi="ar-SA"/>
              </w:rPr>
              <w:lastRenderedPageBreak/>
              <w:t xml:space="preserve">NZFGC strongly supports amendment of the definition, but </w:t>
            </w:r>
            <w:r w:rsidRPr="00E96DE0">
              <w:rPr>
                <w:rFonts w:cs="Arial"/>
                <w:b w:val="0"/>
                <w:sz w:val="20"/>
                <w:szCs w:val="20"/>
              </w:rPr>
              <w:t>does not support how the amendment is drafted as it refers to Schedule 22.</w:t>
            </w:r>
          </w:p>
          <w:p w14:paraId="2F502440" w14:textId="77777777" w:rsidR="00B471AA" w:rsidRPr="00E96DE0" w:rsidRDefault="00B471AA" w:rsidP="00B471AA">
            <w:pPr>
              <w:rPr>
                <w:rFonts w:cs="Arial"/>
                <w:b w:val="0"/>
                <w:sz w:val="20"/>
                <w:szCs w:val="20"/>
              </w:rPr>
            </w:pPr>
          </w:p>
          <w:p w14:paraId="308B6A6A" w14:textId="3B71BE05" w:rsidR="00B471AA" w:rsidRPr="00E96DE0" w:rsidRDefault="00B471AA" w:rsidP="00B471AA">
            <w:pPr>
              <w:rPr>
                <w:rFonts w:cs="Arial"/>
                <w:b w:val="0"/>
                <w:sz w:val="20"/>
                <w:szCs w:val="20"/>
              </w:rPr>
            </w:pPr>
            <w:r w:rsidRPr="00E96DE0">
              <w:rPr>
                <w:rFonts w:cs="Arial"/>
                <w:b w:val="0"/>
                <w:sz w:val="20"/>
                <w:szCs w:val="20"/>
              </w:rPr>
              <w:t>NZFGC oppose the Code referring to Schedule 22 for purposes other than residue limits for agricultural or veterinary chemicals in Australia</w:t>
            </w:r>
            <w:r w:rsidR="005C2A87">
              <w:rPr>
                <w:rFonts w:cs="Arial"/>
                <w:b w:val="0"/>
                <w:sz w:val="20"/>
                <w:szCs w:val="20"/>
              </w:rPr>
              <w:t>.</w:t>
            </w:r>
          </w:p>
          <w:p w14:paraId="6F7E4311" w14:textId="77777777" w:rsidR="00B471AA" w:rsidRPr="00E96DE0" w:rsidRDefault="00B471AA" w:rsidP="00B471AA">
            <w:pPr>
              <w:pStyle w:val="Default"/>
              <w:rPr>
                <w:rFonts w:ascii="Arial" w:hAnsi="Arial" w:cs="Arial"/>
                <w:b w:val="0"/>
                <w:sz w:val="20"/>
                <w:szCs w:val="20"/>
              </w:rPr>
            </w:pPr>
          </w:p>
          <w:p w14:paraId="59DFC5DB" w14:textId="77777777" w:rsidR="00B471AA" w:rsidRPr="00E96DE0" w:rsidRDefault="00B471AA" w:rsidP="00B471AA">
            <w:pPr>
              <w:pStyle w:val="Default"/>
              <w:numPr>
                <w:ilvl w:val="0"/>
                <w:numId w:val="12"/>
              </w:numPr>
              <w:ind w:left="171" w:hanging="171"/>
              <w:rPr>
                <w:rFonts w:ascii="Arial" w:hAnsi="Arial" w:cs="Arial"/>
                <w:b w:val="0"/>
                <w:sz w:val="20"/>
                <w:szCs w:val="20"/>
              </w:rPr>
            </w:pPr>
            <w:r w:rsidRPr="00E96DE0">
              <w:rPr>
                <w:rFonts w:ascii="Arial" w:hAnsi="Arial" w:cs="Arial"/>
                <w:b w:val="0"/>
                <w:sz w:val="20"/>
                <w:szCs w:val="20"/>
              </w:rPr>
              <w:t xml:space="preserve">The purpose of Schedule 22, as set out in Standard 1.4.2—2, is “to set out the maximum residue limits and extraneous residue limits for agricultural or veterinary chemicals that are permitted in foods for sale”. </w:t>
            </w:r>
          </w:p>
          <w:p w14:paraId="78B644F0" w14:textId="77777777" w:rsidR="00B471AA" w:rsidRPr="00E96DE0" w:rsidRDefault="00B471AA" w:rsidP="00B471AA">
            <w:pPr>
              <w:ind w:left="171" w:hanging="171"/>
              <w:rPr>
                <w:rFonts w:cs="Arial"/>
                <w:b w:val="0"/>
                <w:sz w:val="20"/>
                <w:szCs w:val="20"/>
              </w:rPr>
            </w:pPr>
          </w:p>
          <w:p w14:paraId="037F97FD" w14:textId="77777777" w:rsidR="00B471AA" w:rsidRPr="00E96DE0" w:rsidRDefault="00B471AA" w:rsidP="00B471AA">
            <w:pPr>
              <w:pStyle w:val="ListParagraph"/>
              <w:widowControl/>
              <w:numPr>
                <w:ilvl w:val="0"/>
                <w:numId w:val="12"/>
              </w:numPr>
              <w:ind w:left="171" w:hanging="171"/>
              <w:rPr>
                <w:rFonts w:cs="Arial"/>
                <w:b w:val="0"/>
                <w:sz w:val="20"/>
                <w:szCs w:val="20"/>
              </w:rPr>
            </w:pPr>
            <w:r w:rsidRPr="00E96DE0">
              <w:rPr>
                <w:rFonts w:cs="Arial"/>
                <w:b w:val="0"/>
                <w:sz w:val="20"/>
                <w:szCs w:val="20"/>
              </w:rPr>
              <w:t>Schedule 22 was never intended to be a multipurpose schedule.</w:t>
            </w:r>
          </w:p>
          <w:p w14:paraId="50F66E7F" w14:textId="77777777" w:rsidR="00B471AA" w:rsidRPr="00E96DE0" w:rsidRDefault="00B471AA" w:rsidP="00B471AA">
            <w:pPr>
              <w:pStyle w:val="ListParagraph"/>
              <w:rPr>
                <w:rFonts w:cs="Arial"/>
                <w:b w:val="0"/>
                <w:sz w:val="20"/>
                <w:szCs w:val="20"/>
              </w:rPr>
            </w:pPr>
          </w:p>
          <w:p w14:paraId="18F9D0B6" w14:textId="77777777" w:rsidR="00B471AA" w:rsidRPr="00E96DE0" w:rsidRDefault="00B471AA" w:rsidP="00B471AA">
            <w:pPr>
              <w:pStyle w:val="ListParagraph"/>
              <w:widowControl/>
              <w:numPr>
                <w:ilvl w:val="0"/>
                <w:numId w:val="12"/>
              </w:numPr>
              <w:ind w:left="171" w:hanging="171"/>
              <w:rPr>
                <w:rFonts w:cs="Arial"/>
                <w:b w:val="0"/>
                <w:sz w:val="20"/>
                <w:szCs w:val="20"/>
              </w:rPr>
            </w:pPr>
            <w:r w:rsidRPr="00E96DE0">
              <w:rPr>
                <w:rFonts w:cs="Arial"/>
                <w:b w:val="0"/>
                <w:sz w:val="20"/>
                <w:szCs w:val="20"/>
              </w:rPr>
              <w:t>Definitions in the Code should be tailored for specific purposes. A separate generic definition should be tailored for section 1.5.3</w:t>
            </w:r>
            <w:r w:rsidRPr="00E96DE0">
              <w:rPr>
                <w:rFonts w:cs="Arial"/>
                <w:b w:val="0"/>
                <w:sz w:val="20"/>
                <w:szCs w:val="20"/>
                <w:lang w:bidi="ar-SA"/>
              </w:rPr>
              <w:t>—</w:t>
            </w:r>
            <w:r w:rsidRPr="00E96DE0">
              <w:rPr>
                <w:rFonts w:cs="Arial"/>
                <w:b w:val="0"/>
                <w:sz w:val="20"/>
                <w:szCs w:val="20"/>
              </w:rPr>
              <w:t>4 that does not refer to Schedule 22.</w:t>
            </w:r>
          </w:p>
          <w:p w14:paraId="42C89009" w14:textId="77777777" w:rsidR="00B471AA" w:rsidRPr="00E96DE0" w:rsidRDefault="00B471AA" w:rsidP="00B471AA">
            <w:pPr>
              <w:pStyle w:val="ListParagraph"/>
              <w:rPr>
                <w:rFonts w:eastAsiaTheme="minorHAnsi" w:cs="Arial"/>
                <w:b w:val="0"/>
                <w:color w:val="000000"/>
                <w:sz w:val="20"/>
                <w:szCs w:val="20"/>
                <w:lang w:bidi="ar-SA"/>
              </w:rPr>
            </w:pPr>
          </w:p>
          <w:p w14:paraId="234A92C5" w14:textId="77777777" w:rsidR="00B471AA" w:rsidRPr="00E96DE0" w:rsidRDefault="00B471AA" w:rsidP="00B471AA">
            <w:pPr>
              <w:pStyle w:val="ListParagraph"/>
              <w:widowControl/>
              <w:numPr>
                <w:ilvl w:val="0"/>
                <w:numId w:val="12"/>
              </w:numPr>
              <w:ind w:left="171" w:hanging="171"/>
              <w:rPr>
                <w:rFonts w:cs="Arial"/>
                <w:b w:val="0"/>
                <w:sz w:val="20"/>
                <w:szCs w:val="20"/>
              </w:rPr>
            </w:pPr>
            <w:r w:rsidRPr="00E96DE0">
              <w:rPr>
                <w:rFonts w:eastAsiaTheme="minorHAnsi" w:cs="Arial"/>
                <w:b w:val="0"/>
                <w:color w:val="000000"/>
                <w:sz w:val="20"/>
                <w:szCs w:val="20"/>
                <w:lang w:bidi="ar-SA"/>
              </w:rPr>
              <w:t xml:space="preserve">This would leave Schedule 22 to meet its stated purpose (determining categories of foods and levels of maximum residue levels from the application or agricultural and veterinary chemicals) </w:t>
            </w:r>
          </w:p>
          <w:p w14:paraId="353365E0" w14:textId="6E8EF88D" w:rsidR="006438F7" w:rsidRPr="00E96DE0" w:rsidRDefault="006438F7" w:rsidP="00CA7E1B">
            <w:pPr>
              <w:pStyle w:val="FSTableText"/>
              <w:rPr>
                <w:b w:val="0"/>
              </w:rPr>
            </w:pPr>
          </w:p>
        </w:tc>
        <w:tc>
          <w:tcPr>
            <w:tcW w:w="1275" w:type="dxa"/>
            <w:tcBorders>
              <w:left w:val="none" w:sz="0" w:space="0" w:color="auto"/>
              <w:bottom w:val="single" w:sz="4" w:space="0" w:color="auto"/>
              <w:right w:val="none" w:sz="0" w:space="0" w:color="auto"/>
            </w:tcBorders>
          </w:tcPr>
          <w:p w14:paraId="7552E0AE" w14:textId="34F2C8F0" w:rsidR="00B87D87" w:rsidRPr="00E96DE0" w:rsidRDefault="00B954BE" w:rsidP="00B87D87">
            <w:pPr>
              <w:pStyle w:val="FSTableText"/>
              <w:cnfStyle w:val="000000100000" w:firstRow="0" w:lastRow="0" w:firstColumn="0" w:lastColumn="0" w:oddVBand="0" w:evenVBand="0" w:oddHBand="1" w:evenHBand="0" w:firstRowFirstColumn="0" w:firstRowLastColumn="0" w:lastRowFirstColumn="0" w:lastRowLastColumn="0"/>
              <w:rPr>
                <w:lang w:bidi="ar-SA"/>
              </w:rPr>
            </w:pPr>
            <w:r w:rsidRPr="00E96DE0">
              <w:rPr>
                <w:lang w:bidi="ar-SA"/>
              </w:rPr>
              <w:t>NZFGC</w:t>
            </w:r>
          </w:p>
          <w:p w14:paraId="0FD81B05" w14:textId="7F948104" w:rsidR="00B87D87" w:rsidRPr="00E96DE0" w:rsidRDefault="00B87D87" w:rsidP="00B87D87">
            <w:pPr>
              <w:pStyle w:val="FSTableText"/>
              <w:cnfStyle w:val="000000100000" w:firstRow="0" w:lastRow="0" w:firstColumn="0" w:lastColumn="0" w:oddVBand="0" w:evenVBand="0" w:oddHBand="1" w:evenHBand="0" w:firstRowFirstColumn="0" w:firstRowLastColumn="0" w:lastRowFirstColumn="0" w:lastRowLastColumn="0"/>
            </w:pPr>
          </w:p>
        </w:tc>
        <w:tc>
          <w:tcPr>
            <w:tcW w:w="3962" w:type="dxa"/>
            <w:tcBorders>
              <w:left w:val="none" w:sz="0" w:space="0" w:color="auto"/>
              <w:bottom w:val="single" w:sz="4" w:space="0" w:color="auto"/>
            </w:tcBorders>
          </w:tcPr>
          <w:p w14:paraId="1721A4FB" w14:textId="77777777" w:rsidR="00B471AA" w:rsidRPr="00E96DE0" w:rsidRDefault="00B471AA" w:rsidP="00B471A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96DE0">
              <w:rPr>
                <w:rFonts w:cs="Arial"/>
                <w:sz w:val="20"/>
                <w:szCs w:val="20"/>
              </w:rPr>
              <w:t>Noted.</w:t>
            </w:r>
          </w:p>
          <w:p w14:paraId="00C2F48C" w14:textId="77777777" w:rsidR="00B471AA" w:rsidRPr="00E96DE0" w:rsidRDefault="00B471AA" w:rsidP="00B471AA">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1EFCC7F0" w14:textId="77777777" w:rsidR="005C2A87" w:rsidRDefault="00B471AA" w:rsidP="00B471AA">
            <w:pPr>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E96DE0">
              <w:rPr>
                <w:rFonts w:cs="Arial"/>
                <w:sz w:val="20"/>
                <w:szCs w:val="20"/>
                <w:lang w:val="en-AU"/>
              </w:rPr>
              <w:t xml:space="preserve">FSANZ does not share </w:t>
            </w:r>
            <w:r w:rsidRPr="00E96DE0">
              <w:rPr>
                <w:rFonts w:cs="Arial"/>
                <w:sz w:val="20"/>
                <w:szCs w:val="20"/>
              </w:rPr>
              <w:t>NZFGC’s view.</w:t>
            </w:r>
          </w:p>
          <w:p w14:paraId="58D1ECD2" w14:textId="77777777" w:rsidR="005C2A87" w:rsidRDefault="005C2A87" w:rsidP="00B471AA">
            <w:pPr>
              <w:cnfStyle w:val="000000100000" w:firstRow="0" w:lastRow="0" w:firstColumn="0" w:lastColumn="0" w:oddVBand="0" w:evenVBand="0" w:oddHBand="1" w:evenHBand="0" w:firstRowFirstColumn="0" w:firstRowLastColumn="0" w:lastRowFirstColumn="0" w:lastRowLastColumn="0"/>
              <w:rPr>
                <w:rFonts w:cs="Arial"/>
                <w:sz w:val="20"/>
                <w:szCs w:val="20"/>
                <w:lang w:val="en-AU"/>
              </w:rPr>
            </w:pPr>
          </w:p>
          <w:p w14:paraId="522C5DA6" w14:textId="5970D616" w:rsidR="00B471AA" w:rsidRPr="00E96DE0" w:rsidRDefault="00B471AA" w:rsidP="00B471AA">
            <w:pPr>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E96DE0">
              <w:rPr>
                <w:rFonts w:cs="Arial"/>
                <w:sz w:val="20"/>
                <w:szCs w:val="20"/>
                <w:lang w:val="en-AU"/>
              </w:rPr>
              <w:t>The fact that a law or a Standard exists for one purpose does not mean that that law or Standard, or a list in one part of it, cannot be referenced and used for and by another law or Standard. This is accepted and normal drafting and legislative practice.</w:t>
            </w:r>
          </w:p>
          <w:p w14:paraId="0B118B64" w14:textId="77777777" w:rsidR="00B471AA" w:rsidRPr="00E96DE0" w:rsidRDefault="00B471AA" w:rsidP="00B471AA">
            <w:pPr>
              <w:cnfStyle w:val="000000100000" w:firstRow="0" w:lastRow="0" w:firstColumn="0" w:lastColumn="0" w:oddVBand="0" w:evenVBand="0" w:oddHBand="1" w:evenHBand="0" w:firstRowFirstColumn="0" w:firstRowLastColumn="0" w:lastRowFirstColumn="0" w:lastRowLastColumn="0"/>
              <w:rPr>
                <w:rFonts w:cs="Arial"/>
                <w:sz w:val="20"/>
                <w:szCs w:val="20"/>
                <w:lang w:val="en-AU"/>
              </w:rPr>
            </w:pPr>
          </w:p>
          <w:p w14:paraId="3B1D315A" w14:textId="77777777" w:rsidR="00B471AA" w:rsidRPr="00E96DE0" w:rsidRDefault="00B471AA" w:rsidP="00B471AA">
            <w:pP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E96DE0">
              <w:rPr>
                <w:rFonts w:cs="Arial"/>
                <w:sz w:val="20"/>
                <w:szCs w:val="20"/>
                <w:lang w:val="en-AU"/>
              </w:rPr>
              <w:t xml:space="preserve">Schedule 22 and its precursor has been referenced by the Irradiation Standard since 2001.  </w:t>
            </w:r>
            <w:r w:rsidRPr="00E96DE0">
              <w:rPr>
                <w:rFonts w:cs="Arial"/>
                <w:sz w:val="20"/>
                <w:szCs w:val="20"/>
              </w:rPr>
              <w:t>The purpose statement in section 1.4.2—2</w:t>
            </w:r>
            <w:r w:rsidRPr="00E96DE0">
              <w:rPr>
                <w:rFonts w:cs="Arial"/>
                <w:b/>
                <w:sz w:val="20"/>
                <w:szCs w:val="20"/>
              </w:rPr>
              <w:t xml:space="preserve"> </w:t>
            </w:r>
            <w:r w:rsidRPr="00E96DE0">
              <w:rPr>
                <w:rFonts w:cs="Arial"/>
                <w:sz w:val="20"/>
                <w:szCs w:val="20"/>
                <w:lang w:val="en-AU"/>
              </w:rPr>
              <w:t xml:space="preserve">cannot of itself change that fact or the legal effect of section </w:t>
            </w:r>
            <w:r w:rsidRPr="00E96DE0">
              <w:rPr>
                <w:rFonts w:cs="Arial"/>
                <w:bCs/>
                <w:sz w:val="20"/>
                <w:szCs w:val="20"/>
              </w:rPr>
              <w:t>1.5.3</w:t>
            </w:r>
            <w:r w:rsidRPr="00E96DE0">
              <w:rPr>
                <w:rFonts w:cs="Arial"/>
                <w:sz w:val="20"/>
                <w:szCs w:val="20"/>
                <w:lang w:bidi="ar-SA"/>
              </w:rPr>
              <w:t>—</w:t>
            </w:r>
            <w:r w:rsidRPr="00E96DE0">
              <w:rPr>
                <w:rFonts w:cs="Arial"/>
                <w:bCs/>
                <w:sz w:val="20"/>
                <w:szCs w:val="20"/>
              </w:rPr>
              <w:t>4 and the definition in subsection 1.5.3</w:t>
            </w:r>
            <w:r w:rsidRPr="00E96DE0">
              <w:rPr>
                <w:rFonts w:cs="Arial"/>
                <w:sz w:val="20"/>
                <w:szCs w:val="20"/>
                <w:lang w:bidi="ar-SA"/>
              </w:rPr>
              <w:t>—</w:t>
            </w:r>
            <w:r w:rsidRPr="00E96DE0">
              <w:rPr>
                <w:rFonts w:cs="Arial"/>
                <w:bCs/>
                <w:sz w:val="20"/>
                <w:szCs w:val="20"/>
              </w:rPr>
              <w:t xml:space="preserve">4(3). </w:t>
            </w:r>
          </w:p>
          <w:p w14:paraId="69FB221C" w14:textId="77777777" w:rsidR="00B471AA" w:rsidRPr="00E96DE0" w:rsidRDefault="00B471AA" w:rsidP="00B471AA">
            <w:pPr>
              <w:cnfStyle w:val="000000100000" w:firstRow="0" w:lastRow="0" w:firstColumn="0" w:lastColumn="0" w:oddVBand="0" w:evenVBand="0" w:oddHBand="1" w:evenHBand="0" w:firstRowFirstColumn="0" w:firstRowLastColumn="0" w:lastRowFirstColumn="0" w:lastRowLastColumn="0"/>
              <w:rPr>
                <w:rFonts w:cs="Arial"/>
                <w:bCs/>
                <w:sz w:val="20"/>
                <w:szCs w:val="20"/>
              </w:rPr>
            </w:pPr>
          </w:p>
          <w:p w14:paraId="625872E6" w14:textId="7DE77695" w:rsidR="00B471AA" w:rsidRPr="00E96DE0" w:rsidRDefault="00B471AA" w:rsidP="00B471AA">
            <w:pPr>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E96DE0">
              <w:rPr>
                <w:rFonts w:cs="Arial"/>
                <w:bCs/>
                <w:sz w:val="20"/>
                <w:szCs w:val="20"/>
              </w:rPr>
              <w:t>In any event, Schedule 22 itself makes clear that a purpose of Schedule 22 is to describe foods and classes of foods for the purposes of subsection 1.5.3</w:t>
            </w:r>
            <w:r w:rsidRPr="00E96DE0">
              <w:rPr>
                <w:rFonts w:cs="Arial"/>
                <w:sz w:val="20"/>
                <w:szCs w:val="20"/>
                <w:lang w:bidi="ar-SA"/>
              </w:rPr>
              <w:t>—4(3). See Note 1.</w:t>
            </w:r>
          </w:p>
          <w:p w14:paraId="763CBC84" w14:textId="77777777" w:rsidR="00B471AA" w:rsidRPr="00E96DE0" w:rsidRDefault="00B471AA" w:rsidP="00B471AA">
            <w:pPr>
              <w:cnfStyle w:val="000000100000" w:firstRow="0" w:lastRow="0" w:firstColumn="0" w:lastColumn="0" w:oddVBand="0" w:evenVBand="0" w:oddHBand="1" w:evenHBand="0" w:firstRowFirstColumn="0" w:firstRowLastColumn="0" w:lastRowFirstColumn="0" w:lastRowLastColumn="0"/>
              <w:rPr>
                <w:rFonts w:cs="Arial"/>
                <w:sz w:val="20"/>
                <w:szCs w:val="20"/>
                <w:lang w:bidi="ar-SA"/>
              </w:rPr>
            </w:pPr>
          </w:p>
          <w:p w14:paraId="1319016D" w14:textId="77777777" w:rsidR="00B471AA" w:rsidRPr="00E96DE0" w:rsidRDefault="00B471AA" w:rsidP="00B471AA">
            <w:pPr>
              <w:cnfStyle w:val="000000100000" w:firstRow="0" w:lastRow="0" w:firstColumn="0" w:lastColumn="0" w:oddVBand="0" w:evenVBand="0" w:oddHBand="1" w:evenHBand="0" w:firstRowFirstColumn="0" w:firstRowLastColumn="0" w:lastRowFirstColumn="0" w:lastRowLastColumn="0"/>
              <w:rPr>
                <w:rFonts w:eastAsiaTheme="minorHAnsi" w:cs="Arial"/>
                <w:color w:val="000000"/>
                <w:sz w:val="20"/>
                <w:szCs w:val="20"/>
                <w:lang w:bidi="ar-SA"/>
              </w:rPr>
            </w:pPr>
            <w:r w:rsidRPr="00E96DE0">
              <w:rPr>
                <w:rFonts w:cs="Arial"/>
                <w:sz w:val="20"/>
                <w:szCs w:val="20"/>
              </w:rPr>
              <w:t>No evidence has been presented that the proposed single reference in section 1.5.3</w:t>
            </w:r>
            <w:r w:rsidRPr="00E96DE0">
              <w:rPr>
                <w:rFonts w:cs="Arial"/>
                <w:sz w:val="20"/>
                <w:szCs w:val="20"/>
                <w:lang w:bidi="ar-SA"/>
              </w:rPr>
              <w:t>—</w:t>
            </w:r>
            <w:r w:rsidRPr="00E96DE0">
              <w:rPr>
                <w:rFonts w:cs="Arial"/>
                <w:sz w:val="20"/>
                <w:szCs w:val="20"/>
              </w:rPr>
              <w:t xml:space="preserve">4 to one small part of Schedule 22 </w:t>
            </w:r>
            <w:r w:rsidRPr="00E96DE0">
              <w:rPr>
                <w:rFonts w:eastAsiaTheme="minorHAnsi" w:cs="Arial"/>
                <w:color w:val="000000"/>
                <w:sz w:val="20"/>
                <w:szCs w:val="20"/>
                <w:lang w:bidi="ar-SA"/>
              </w:rPr>
              <w:t>will in fact create a practical problem for industry or for enforcement. See in this regard, FSANZ’s responses below.</w:t>
            </w:r>
          </w:p>
          <w:p w14:paraId="1D6DC75A" w14:textId="2D9DBB27" w:rsidR="00CA7E1B" w:rsidRPr="00E96DE0" w:rsidRDefault="00CA7E1B" w:rsidP="00B471AA">
            <w:pPr>
              <w:pStyle w:val="FSTableText"/>
              <w:ind w:left="360"/>
              <w:cnfStyle w:val="000000100000" w:firstRow="0" w:lastRow="0" w:firstColumn="0" w:lastColumn="0" w:oddVBand="0" w:evenVBand="0" w:oddHBand="1" w:evenHBand="0" w:firstRowFirstColumn="0" w:firstRowLastColumn="0" w:lastRowFirstColumn="0" w:lastRowLastColumn="0"/>
            </w:pPr>
          </w:p>
        </w:tc>
      </w:tr>
      <w:tr w:rsidR="00B471AA" w:rsidRPr="00E96DE0" w14:paraId="1A6C5EE5" w14:textId="77777777" w:rsidTr="00B471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auto"/>
              <w:right w:val="single" w:sz="4" w:space="0" w:color="auto"/>
            </w:tcBorders>
          </w:tcPr>
          <w:p w14:paraId="2E71A870" w14:textId="4F86E1AE" w:rsidR="00B471AA" w:rsidRPr="00E96DE0" w:rsidRDefault="00B471AA" w:rsidP="00B471AA">
            <w:pPr>
              <w:rPr>
                <w:rFonts w:cs="Arial"/>
                <w:b w:val="0"/>
                <w:sz w:val="20"/>
                <w:szCs w:val="20"/>
              </w:rPr>
            </w:pPr>
            <w:r w:rsidRPr="00E96DE0">
              <w:rPr>
                <w:rFonts w:eastAsiaTheme="minorHAnsi" w:cs="Arial"/>
                <w:b w:val="0"/>
                <w:color w:val="000000"/>
                <w:sz w:val="20"/>
                <w:szCs w:val="20"/>
                <w:lang w:bidi="ar-SA"/>
              </w:rPr>
              <w:lastRenderedPageBreak/>
              <w:t>Schedule 22 is almost exclusively applied for the purposes of Standard 1.4.2, which is an Australia-only standard</w:t>
            </w:r>
            <w:r w:rsidRPr="00E96DE0">
              <w:rPr>
                <w:rFonts w:cs="Arial"/>
                <w:b w:val="0"/>
                <w:sz w:val="20"/>
                <w:szCs w:val="20"/>
              </w:rPr>
              <w:t>. The reference in section 1.5.3</w:t>
            </w:r>
            <w:r w:rsidRPr="00E96DE0">
              <w:rPr>
                <w:rFonts w:cs="Arial"/>
                <w:b w:val="0"/>
                <w:sz w:val="20"/>
                <w:szCs w:val="20"/>
                <w:lang w:bidi="ar-SA"/>
              </w:rPr>
              <w:t>—</w:t>
            </w:r>
            <w:r w:rsidRPr="00E96DE0">
              <w:rPr>
                <w:rFonts w:cs="Arial"/>
                <w:b w:val="0"/>
                <w:sz w:val="20"/>
                <w:szCs w:val="20"/>
              </w:rPr>
              <w:t xml:space="preserve">4 to Schedule 22 therefore </w:t>
            </w:r>
            <w:r w:rsidRPr="00E96DE0">
              <w:rPr>
                <w:rFonts w:eastAsiaTheme="minorHAnsi" w:cs="Arial"/>
                <w:b w:val="0"/>
                <w:color w:val="000000"/>
                <w:sz w:val="20"/>
                <w:szCs w:val="20"/>
                <w:lang w:bidi="ar-SA"/>
              </w:rPr>
              <w:t xml:space="preserve">creates ambiguity for New Zealand industry and enforcement about what parts of the Code applies in New Zealand. The section and the reference have </w:t>
            </w:r>
            <w:r w:rsidRPr="00E96DE0">
              <w:rPr>
                <w:rFonts w:cs="Arial"/>
                <w:b w:val="0"/>
                <w:sz w:val="20"/>
                <w:szCs w:val="20"/>
              </w:rPr>
              <w:t>‘</w:t>
            </w:r>
            <w:r w:rsidRPr="00E96DE0">
              <w:rPr>
                <w:rFonts w:eastAsiaTheme="minorHAnsi" w:cs="Arial"/>
                <w:b w:val="0"/>
                <w:color w:val="000000"/>
                <w:sz w:val="20"/>
                <w:szCs w:val="20"/>
                <w:lang w:bidi="ar-SA"/>
              </w:rPr>
              <w:t xml:space="preserve">long been an irritation in terms of use for this reason.’ </w:t>
            </w:r>
          </w:p>
          <w:p w14:paraId="61DCF9A3" w14:textId="77777777" w:rsidR="00B471AA" w:rsidRPr="00E96DE0" w:rsidRDefault="00B471AA" w:rsidP="00B471AA">
            <w:pPr>
              <w:widowControl/>
              <w:autoSpaceDE w:val="0"/>
              <w:autoSpaceDN w:val="0"/>
              <w:adjustRightInd w:val="0"/>
              <w:rPr>
                <w:rFonts w:eastAsiaTheme="minorHAnsi" w:cs="Arial"/>
                <w:b w:val="0"/>
                <w:color w:val="000000"/>
                <w:sz w:val="20"/>
                <w:szCs w:val="20"/>
                <w:lang w:bidi="ar-SA"/>
              </w:rPr>
            </w:pPr>
          </w:p>
        </w:tc>
        <w:tc>
          <w:tcPr>
            <w:tcW w:w="1275" w:type="dxa"/>
            <w:tcBorders>
              <w:left w:val="single" w:sz="4" w:space="0" w:color="auto"/>
              <w:bottom w:val="single" w:sz="4" w:space="0" w:color="auto"/>
              <w:right w:val="single" w:sz="4" w:space="0" w:color="auto"/>
            </w:tcBorders>
          </w:tcPr>
          <w:p w14:paraId="0934C617" w14:textId="77777777" w:rsidR="00B471AA" w:rsidRPr="00E96DE0" w:rsidRDefault="00B471AA" w:rsidP="00B471AA">
            <w:pPr>
              <w:pStyle w:val="FSTableText"/>
              <w:cnfStyle w:val="000000010000" w:firstRow="0" w:lastRow="0" w:firstColumn="0" w:lastColumn="0" w:oddVBand="0" w:evenVBand="0" w:oddHBand="0" w:evenHBand="1" w:firstRowFirstColumn="0" w:firstRowLastColumn="0" w:lastRowFirstColumn="0" w:lastRowLastColumn="0"/>
              <w:rPr>
                <w:lang w:bidi="ar-SA"/>
              </w:rPr>
            </w:pPr>
            <w:r w:rsidRPr="00E96DE0">
              <w:rPr>
                <w:lang w:bidi="ar-SA"/>
              </w:rPr>
              <w:t>NZFGC</w:t>
            </w:r>
          </w:p>
          <w:p w14:paraId="7561BA07" w14:textId="77777777" w:rsidR="00B471AA" w:rsidRPr="00E96DE0" w:rsidRDefault="00B471AA" w:rsidP="00B471AA">
            <w:pPr>
              <w:pStyle w:val="FSTableText"/>
              <w:cnfStyle w:val="000000010000" w:firstRow="0" w:lastRow="0" w:firstColumn="0" w:lastColumn="0" w:oddVBand="0" w:evenVBand="0" w:oddHBand="0" w:evenHBand="1" w:firstRowFirstColumn="0" w:firstRowLastColumn="0" w:lastRowFirstColumn="0" w:lastRowLastColumn="0"/>
              <w:rPr>
                <w:lang w:bidi="ar-SA"/>
              </w:rPr>
            </w:pPr>
          </w:p>
        </w:tc>
        <w:tc>
          <w:tcPr>
            <w:tcW w:w="3962" w:type="dxa"/>
            <w:tcBorders>
              <w:left w:val="single" w:sz="4" w:space="0" w:color="auto"/>
              <w:bottom w:val="single" w:sz="4" w:space="0" w:color="auto"/>
            </w:tcBorders>
          </w:tcPr>
          <w:p w14:paraId="279B58FD" w14:textId="77777777" w:rsidR="00B471AA" w:rsidRPr="00E96DE0" w:rsidRDefault="00B471AA" w:rsidP="00B471AA">
            <w:pPr>
              <w:pStyle w:val="FSTableText"/>
              <w:cnfStyle w:val="000000010000" w:firstRow="0" w:lastRow="0" w:firstColumn="0" w:lastColumn="0" w:oddVBand="0" w:evenVBand="0" w:oddHBand="0" w:evenHBand="1" w:firstRowFirstColumn="0" w:firstRowLastColumn="0" w:lastRowFirstColumn="0" w:lastRowLastColumn="0"/>
            </w:pPr>
            <w:r w:rsidRPr="00E96DE0">
              <w:t xml:space="preserve">Noted. </w:t>
            </w:r>
          </w:p>
          <w:p w14:paraId="0DB1ABCB" w14:textId="77777777" w:rsidR="00B471AA" w:rsidRPr="00E96DE0" w:rsidRDefault="00B471AA" w:rsidP="00B471AA">
            <w:pPr>
              <w:pStyle w:val="FSTableText"/>
              <w:cnfStyle w:val="000000010000" w:firstRow="0" w:lastRow="0" w:firstColumn="0" w:lastColumn="0" w:oddVBand="0" w:evenVBand="0" w:oddHBand="0" w:evenHBand="1" w:firstRowFirstColumn="0" w:firstRowLastColumn="0" w:lastRowFirstColumn="0" w:lastRowLastColumn="0"/>
            </w:pPr>
          </w:p>
          <w:p w14:paraId="741841F7" w14:textId="77777777"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96DE0">
              <w:rPr>
                <w:rFonts w:cs="Arial"/>
                <w:sz w:val="20"/>
                <w:szCs w:val="20"/>
                <w:lang w:val="en-AU"/>
              </w:rPr>
              <w:t xml:space="preserve">FSANZ does not share </w:t>
            </w:r>
            <w:r w:rsidRPr="00E96DE0">
              <w:rPr>
                <w:rFonts w:cs="Arial"/>
                <w:sz w:val="20"/>
                <w:szCs w:val="20"/>
              </w:rPr>
              <w:t>NZFGC’s view.</w:t>
            </w:r>
          </w:p>
          <w:p w14:paraId="61A79BE9" w14:textId="77777777"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76152B28" w14:textId="77777777"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96DE0">
              <w:rPr>
                <w:rFonts w:cs="Arial"/>
                <w:sz w:val="20"/>
                <w:szCs w:val="20"/>
              </w:rPr>
              <w:t>No evidence has been presented that the single reference in section 1.5.3</w:t>
            </w:r>
            <w:r w:rsidRPr="00E96DE0">
              <w:rPr>
                <w:rFonts w:cs="Arial"/>
                <w:sz w:val="20"/>
                <w:szCs w:val="20"/>
                <w:lang w:bidi="ar-SA"/>
              </w:rPr>
              <w:t>—</w:t>
            </w:r>
            <w:r w:rsidRPr="00E96DE0">
              <w:rPr>
                <w:rFonts w:cs="Arial"/>
                <w:sz w:val="20"/>
                <w:szCs w:val="20"/>
              </w:rPr>
              <w:t xml:space="preserve">4 to one part of Schedule 22 </w:t>
            </w:r>
            <w:r w:rsidRPr="00E96DE0">
              <w:rPr>
                <w:rFonts w:eastAsiaTheme="minorHAnsi" w:cs="Arial"/>
                <w:color w:val="000000"/>
                <w:sz w:val="20"/>
                <w:szCs w:val="20"/>
                <w:lang w:bidi="ar-SA"/>
              </w:rPr>
              <w:t>will create ambiguity about what parts of the Code apply in New Zealand.</w:t>
            </w:r>
          </w:p>
          <w:p w14:paraId="2525A4DB" w14:textId="77777777"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30321AD5" w14:textId="77777777"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96DE0">
              <w:rPr>
                <w:rFonts w:cs="Arial"/>
                <w:sz w:val="20"/>
                <w:szCs w:val="20"/>
              </w:rPr>
              <w:t>It is axiomatic that a single reference in section 1.5.3</w:t>
            </w:r>
            <w:r w:rsidRPr="00E96DE0">
              <w:rPr>
                <w:rFonts w:cs="Arial"/>
                <w:sz w:val="20"/>
                <w:szCs w:val="20"/>
                <w:lang w:bidi="ar-SA"/>
              </w:rPr>
              <w:t>—</w:t>
            </w:r>
            <w:r w:rsidRPr="00E96DE0">
              <w:rPr>
                <w:rFonts w:cs="Arial"/>
                <w:sz w:val="20"/>
                <w:szCs w:val="20"/>
              </w:rPr>
              <w:t xml:space="preserve">4 to one part of Schedule 22 does not and cannot apply </w:t>
            </w:r>
            <w:r w:rsidRPr="00E96DE0">
              <w:rPr>
                <w:rFonts w:eastAsiaTheme="minorHAnsi" w:cs="Arial"/>
                <w:color w:val="000000"/>
                <w:sz w:val="20"/>
                <w:szCs w:val="20"/>
                <w:lang w:bidi="ar-SA"/>
              </w:rPr>
              <w:t>Standard 1.4.2 to New Zealand.</w:t>
            </w:r>
          </w:p>
          <w:p w14:paraId="0D3C3CD7" w14:textId="77777777"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5AF6C751" w14:textId="3ABC6C27"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96DE0">
              <w:rPr>
                <w:rFonts w:cs="Arial"/>
                <w:sz w:val="20"/>
                <w:szCs w:val="20"/>
              </w:rPr>
              <w:t xml:space="preserve">The </w:t>
            </w:r>
            <w:r w:rsidRPr="00E96DE0">
              <w:rPr>
                <w:rFonts w:cs="Arial"/>
                <w:i/>
                <w:sz w:val="20"/>
                <w:szCs w:val="20"/>
              </w:rPr>
              <w:t xml:space="preserve">Food Act 2014 </w:t>
            </w:r>
            <w:r w:rsidRPr="00E96DE0">
              <w:rPr>
                <w:rFonts w:cs="Arial"/>
                <w:sz w:val="20"/>
                <w:szCs w:val="20"/>
              </w:rPr>
              <w:t xml:space="preserve">(NZ) determines what </w:t>
            </w:r>
            <w:r w:rsidRPr="00E96DE0">
              <w:rPr>
                <w:rFonts w:eastAsiaTheme="minorHAnsi" w:cs="Arial"/>
                <w:color w:val="000000"/>
                <w:sz w:val="20"/>
                <w:szCs w:val="20"/>
                <w:lang w:bidi="ar-SA"/>
              </w:rPr>
              <w:t>parts of the Code apply in New Zealand.</w:t>
            </w:r>
            <w:r w:rsidRPr="00E96DE0">
              <w:rPr>
                <w:rFonts w:cs="Arial"/>
                <w:sz w:val="20"/>
                <w:szCs w:val="20"/>
              </w:rPr>
              <w:t xml:space="preserve"> Standard 1.5.3 applies in New Zealand to the extent that its provisions – including the definition provided by </w:t>
            </w:r>
            <w:r w:rsidRPr="00E96DE0">
              <w:rPr>
                <w:rFonts w:cs="Arial"/>
                <w:bCs/>
                <w:sz w:val="20"/>
                <w:szCs w:val="20"/>
              </w:rPr>
              <w:t>subsection 1.5.3</w:t>
            </w:r>
            <w:r w:rsidRPr="00E96DE0">
              <w:rPr>
                <w:rFonts w:cs="Arial"/>
                <w:sz w:val="20"/>
                <w:szCs w:val="20"/>
                <w:lang w:bidi="ar-SA"/>
              </w:rPr>
              <w:t xml:space="preserve">—4(3) - </w:t>
            </w:r>
            <w:r w:rsidRPr="00E96DE0">
              <w:rPr>
                <w:rFonts w:cs="Arial"/>
                <w:sz w:val="20"/>
                <w:szCs w:val="20"/>
              </w:rPr>
              <w:t>are incorporated in or adopted under that Act</w:t>
            </w:r>
            <w:r w:rsidR="00DB7C23" w:rsidRPr="00E96DE0">
              <w:rPr>
                <w:rFonts w:cs="Arial"/>
                <w:sz w:val="20"/>
                <w:szCs w:val="20"/>
              </w:rPr>
              <w:t>.</w:t>
            </w:r>
            <w:r w:rsidRPr="00E96DE0">
              <w:rPr>
                <w:rFonts w:cs="Arial"/>
                <w:sz w:val="20"/>
                <w:szCs w:val="20"/>
              </w:rPr>
              <w:t xml:space="preserve">The fact that the definition adopts a description of and a list of herbs and spices in Schedule 22 means that that description and list apply for the purpose of that definition in New Zealand together with the rest of Standard 1.5.3 and as part of Standard 1.5.3. </w:t>
            </w:r>
          </w:p>
          <w:p w14:paraId="484945A4" w14:textId="77777777" w:rsidR="00B471AA" w:rsidRPr="00E96DE0" w:rsidRDefault="00B471AA" w:rsidP="00B471AA">
            <w:pPr>
              <w:pStyle w:val="ListParagraph"/>
              <w:cnfStyle w:val="000000010000" w:firstRow="0" w:lastRow="0" w:firstColumn="0" w:lastColumn="0" w:oddVBand="0" w:evenVBand="0" w:oddHBand="0" w:evenHBand="1" w:firstRowFirstColumn="0" w:firstRowLastColumn="0" w:lastRowFirstColumn="0" w:lastRowLastColumn="0"/>
              <w:rPr>
                <w:rFonts w:cs="Arial"/>
                <w:sz w:val="20"/>
                <w:szCs w:val="20"/>
              </w:rPr>
            </w:pPr>
          </w:p>
          <w:p w14:paraId="3E018EE7" w14:textId="6955A33D" w:rsidR="00B471AA" w:rsidRPr="00E96DE0" w:rsidRDefault="00B471AA" w:rsidP="00B471AA">
            <w:pPr>
              <w:pStyle w:val="FSTableText"/>
              <w:cnfStyle w:val="000000010000" w:firstRow="0" w:lastRow="0" w:firstColumn="0" w:lastColumn="0" w:oddVBand="0" w:evenVBand="0" w:oddHBand="0" w:evenHBand="1" w:firstRowFirstColumn="0" w:firstRowLastColumn="0" w:lastRowFirstColumn="0" w:lastRowLastColumn="0"/>
              <w:rPr>
                <w:lang w:bidi="ar-SA"/>
              </w:rPr>
            </w:pPr>
            <w:r w:rsidRPr="00E96DE0">
              <w:rPr>
                <w:bCs/>
              </w:rPr>
              <w:t>Schedule 22 itself makes very clear that a purpose of Schedule 22 is to describe foods and classes of foods for the purposes of Standard 1.5.3 and subsection 1.5.3</w:t>
            </w:r>
            <w:r w:rsidRPr="00E96DE0">
              <w:rPr>
                <w:lang w:bidi="ar-SA"/>
              </w:rPr>
              <w:t>—4(3) in particular. See Note 1.</w:t>
            </w:r>
          </w:p>
          <w:p w14:paraId="5CD40417" w14:textId="77777777" w:rsidR="00B471AA" w:rsidRPr="00E96DE0" w:rsidRDefault="00B471AA" w:rsidP="00B471AA">
            <w:pPr>
              <w:pStyle w:val="FSTableText"/>
              <w:cnfStyle w:val="000000010000" w:firstRow="0" w:lastRow="0" w:firstColumn="0" w:lastColumn="0" w:oddVBand="0" w:evenVBand="0" w:oddHBand="0" w:evenHBand="1" w:firstRowFirstColumn="0" w:firstRowLastColumn="0" w:lastRowFirstColumn="0" w:lastRowLastColumn="0"/>
              <w:rPr>
                <w:lang w:bidi="ar-SA"/>
              </w:rPr>
            </w:pPr>
          </w:p>
          <w:p w14:paraId="4CADCDD5" w14:textId="77777777" w:rsidR="00B471AA" w:rsidRPr="00E96DE0" w:rsidRDefault="00B471AA" w:rsidP="00B471AA">
            <w:pPr>
              <w:pStyle w:val="FSTableText"/>
              <w:cnfStyle w:val="000000010000" w:firstRow="0" w:lastRow="0" w:firstColumn="0" w:lastColumn="0" w:oddVBand="0" w:evenVBand="0" w:oddHBand="0" w:evenHBand="1" w:firstRowFirstColumn="0" w:firstRowLastColumn="0" w:lastRowFirstColumn="0" w:lastRowLastColumn="0"/>
              <w:rPr>
                <w:lang w:bidi="ar-SA"/>
              </w:rPr>
            </w:pPr>
            <w:r w:rsidRPr="00E96DE0">
              <w:rPr>
                <w:lang w:bidi="ar-SA"/>
              </w:rPr>
              <w:t>See also FSANZ’s responses above to other issues.</w:t>
            </w:r>
          </w:p>
          <w:p w14:paraId="42BE384C" w14:textId="77777777" w:rsidR="00B471AA" w:rsidRPr="00E96DE0" w:rsidRDefault="00B471AA" w:rsidP="00B471AA">
            <w:pPr>
              <w:pStyle w:val="FSTableText"/>
              <w:cnfStyle w:val="000000010000" w:firstRow="0" w:lastRow="0" w:firstColumn="0" w:lastColumn="0" w:oddVBand="0" w:evenVBand="0" w:oddHBand="0" w:evenHBand="1" w:firstRowFirstColumn="0" w:firstRowLastColumn="0" w:lastRowFirstColumn="0" w:lastRowLastColumn="0"/>
              <w:rPr>
                <w:lang w:bidi="ar-SA"/>
              </w:rPr>
            </w:pPr>
          </w:p>
          <w:p w14:paraId="1682A63C" w14:textId="77777777" w:rsidR="00B471AA" w:rsidRPr="00E96DE0" w:rsidRDefault="00B471AA" w:rsidP="00B471AA">
            <w:pPr>
              <w:pStyle w:val="FSTableText"/>
              <w:cnfStyle w:val="000000010000" w:firstRow="0" w:lastRow="0" w:firstColumn="0" w:lastColumn="0" w:oddVBand="0" w:evenVBand="0" w:oddHBand="0" w:evenHBand="1" w:firstRowFirstColumn="0" w:firstRowLastColumn="0" w:lastRowFirstColumn="0" w:lastRowLastColumn="0"/>
            </w:pPr>
            <w:r w:rsidRPr="00E96DE0">
              <w:rPr>
                <w:lang w:bidi="ar-SA"/>
              </w:rPr>
              <w:t>FSANZ notes that the New Zealand Ministry of Primary Industries, which is responsible for food law in New Zealand, supported the draft variation in its current form.</w:t>
            </w:r>
          </w:p>
          <w:p w14:paraId="412A9A40" w14:textId="204D4619" w:rsidR="00B471AA" w:rsidRPr="00E96DE0" w:rsidRDefault="00B471AA" w:rsidP="00B471AA">
            <w:pPr>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B471AA" w:rsidRPr="00E96DE0" w14:paraId="7D254CEF" w14:textId="77777777" w:rsidTr="00B471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auto"/>
              <w:right w:val="single" w:sz="4" w:space="0" w:color="auto"/>
            </w:tcBorders>
          </w:tcPr>
          <w:p w14:paraId="377564F8" w14:textId="1D7FCBB8" w:rsidR="00B471AA" w:rsidRPr="00E96DE0" w:rsidRDefault="00B471AA" w:rsidP="00B471AA">
            <w:pPr>
              <w:rPr>
                <w:rFonts w:eastAsiaTheme="minorHAnsi" w:cs="Arial"/>
                <w:b w:val="0"/>
                <w:color w:val="000000"/>
                <w:sz w:val="20"/>
                <w:szCs w:val="20"/>
                <w:lang w:bidi="ar-SA"/>
              </w:rPr>
            </w:pPr>
            <w:r w:rsidRPr="00E96DE0">
              <w:rPr>
                <w:rFonts w:cs="Arial"/>
                <w:b w:val="0"/>
                <w:sz w:val="20"/>
                <w:szCs w:val="20"/>
              </w:rPr>
              <w:lastRenderedPageBreak/>
              <w:t>The reference in section 1.5.3</w:t>
            </w:r>
            <w:r w:rsidRPr="00E96DE0">
              <w:rPr>
                <w:rFonts w:cs="Arial"/>
                <w:b w:val="0"/>
                <w:sz w:val="20"/>
                <w:szCs w:val="20"/>
                <w:lang w:bidi="ar-SA"/>
              </w:rPr>
              <w:t>—</w:t>
            </w:r>
            <w:r w:rsidRPr="00E96DE0">
              <w:rPr>
                <w:rFonts w:cs="Arial"/>
                <w:b w:val="0"/>
                <w:sz w:val="20"/>
                <w:szCs w:val="20"/>
              </w:rPr>
              <w:t>4 to Schedule 22 is anomalous and inconsistent internationally in that the European Union, Canada and the United States do not try to define herbs and spices in regulation for the purposes of irradiation.</w:t>
            </w:r>
          </w:p>
        </w:tc>
        <w:tc>
          <w:tcPr>
            <w:tcW w:w="1275" w:type="dxa"/>
            <w:tcBorders>
              <w:left w:val="single" w:sz="4" w:space="0" w:color="auto"/>
              <w:bottom w:val="single" w:sz="4" w:space="0" w:color="auto"/>
              <w:right w:val="single" w:sz="4" w:space="0" w:color="auto"/>
            </w:tcBorders>
          </w:tcPr>
          <w:p w14:paraId="0FC9FC8A"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rPr>
                <w:lang w:bidi="ar-SA"/>
              </w:rPr>
            </w:pPr>
            <w:r w:rsidRPr="00E96DE0">
              <w:rPr>
                <w:lang w:bidi="ar-SA"/>
              </w:rPr>
              <w:t>NZFGC</w:t>
            </w:r>
          </w:p>
          <w:p w14:paraId="2DAF3EFC" w14:textId="77777777" w:rsidR="00B471AA" w:rsidRPr="00E96DE0" w:rsidRDefault="00B471AA" w:rsidP="00B471AA">
            <w:pPr>
              <w:pStyle w:val="FSTableText"/>
              <w:cnfStyle w:val="000000100000" w:firstRow="0" w:lastRow="0" w:firstColumn="0" w:lastColumn="0" w:oddVBand="0" w:evenVBand="0" w:oddHBand="1" w:evenHBand="0" w:firstRowFirstColumn="0" w:firstRowLastColumn="0" w:lastRowFirstColumn="0" w:lastRowLastColumn="0"/>
              <w:rPr>
                <w:lang w:bidi="ar-SA"/>
              </w:rPr>
            </w:pPr>
          </w:p>
        </w:tc>
        <w:tc>
          <w:tcPr>
            <w:tcW w:w="3962" w:type="dxa"/>
            <w:tcBorders>
              <w:left w:val="single" w:sz="4" w:space="0" w:color="auto"/>
              <w:bottom w:val="single" w:sz="4" w:space="0" w:color="auto"/>
            </w:tcBorders>
          </w:tcPr>
          <w:p w14:paraId="6988B7CF"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r w:rsidRPr="00E96DE0">
              <w:t xml:space="preserve">Noted. </w:t>
            </w:r>
          </w:p>
          <w:p w14:paraId="3D006295"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p>
          <w:p w14:paraId="52D2B490"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r w:rsidRPr="00E96DE0">
              <w:t>FSANZ does not share NZFGC’s view.</w:t>
            </w:r>
          </w:p>
          <w:p w14:paraId="7865C842"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p>
          <w:p w14:paraId="73C084E8"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r w:rsidRPr="00E96DE0">
              <w:t>The approaches taken by the European Union (EU), Canada and the United States are explained in section 1.4 above. As stated there: ‘herbs’ and ‘spices’ are not defined for the purposes of the EU legislation; ‘spices’ and ‘seasonings’ are not defined in Canadian legislation; and, while the United States has defined ‘spices in separate guidance, there is no general definition of ‘herbs’.</w:t>
            </w:r>
          </w:p>
          <w:p w14:paraId="3BB7BF14"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p>
          <w:p w14:paraId="132A336B"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r w:rsidRPr="00E96DE0">
              <w:t xml:space="preserve">In each case, the lack of a definition means that these terms will be given their commonly accepted and understood meanings. </w:t>
            </w:r>
          </w:p>
          <w:p w14:paraId="5503387B"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p>
          <w:p w14:paraId="37100890" w14:textId="17577C7B" w:rsidR="00B471AA" w:rsidRPr="00E96DE0" w:rsidRDefault="00A7631E" w:rsidP="005C2A87">
            <w:pPr>
              <w:pStyle w:val="FSTableText"/>
              <w:cnfStyle w:val="000000100000" w:firstRow="0" w:lastRow="0" w:firstColumn="0" w:lastColumn="0" w:oddVBand="0" w:evenVBand="0" w:oddHBand="1" w:evenHBand="0" w:firstRowFirstColumn="0" w:firstRowLastColumn="0" w:lastRowFirstColumn="0" w:lastRowLastColumn="0"/>
            </w:pPr>
            <w:r w:rsidRPr="00E96DE0">
              <w:t xml:space="preserve">The draft variation does the same. It will provide that </w:t>
            </w:r>
            <w:r w:rsidRPr="00E96DE0">
              <w:rPr>
                <w:lang w:val="en-AU"/>
              </w:rPr>
              <w:t>a reference to ‘herb’ or ‘spice’ in section 1.5.3—4 of the Code is a reference to any plant derived material within the commonly accepted and ordinary meaning of ‘herb’ or ‘spice’ (as the case may be) and includes (but is not limited to) a herb or a spice described or listed in Schedule 22. Those listed or described in Schedule 22 all fall within what is commonly accepted and understood to be a ‘herb’ or a ‘spice’.</w:t>
            </w:r>
          </w:p>
        </w:tc>
      </w:tr>
      <w:tr w:rsidR="00A7631E" w:rsidRPr="00E96DE0" w14:paraId="2F71408E" w14:textId="77777777" w:rsidTr="00B471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bottom w:val="single" w:sz="4" w:space="0" w:color="auto"/>
              <w:right w:val="single" w:sz="4" w:space="0" w:color="auto"/>
            </w:tcBorders>
          </w:tcPr>
          <w:p w14:paraId="13018E4A" w14:textId="4086BCD6" w:rsidR="00A7631E" w:rsidRPr="00E96DE0" w:rsidRDefault="00A7631E" w:rsidP="00A7631E">
            <w:pPr>
              <w:pStyle w:val="Default"/>
              <w:rPr>
                <w:rFonts w:ascii="Arial" w:hAnsi="Arial" w:cs="Arial"/>
                <w:b w:val="0"/>
                <w:sz w:val="20"/>
                <w:szCs w:val="20"/>
              </w:rPr>
            </w:pPr>
            <w:r w:rsidRPr="00E96DE0">
              <w:rPr>
                <w:rFonts w:ascii="Arial" w:hAnsi="Arial" w:cs="Arial"/>
                <w:b w:val="0"/>
                <w:sz w:val="20"/>
                <w:szCs w:val="20"/>
              </w:rPr>
              <w:lastRenderedPageBreak/>
              <w:t xml:space="preserve">The draft variation will not provide any greater regulatory certainty for enforcement purposes. </w:t>
            </w:r>
          </w:p>
          <w:p w14:paraId="3DBC73C4" w14:textId="77777777" w:rsidR="00A7631E" w:rsidRPr="00E96DE0" w:rsidRDefault="00A7631E" w:rsidP="00A7631E">
            <w:pPr>
              <w:pStyle w:val="Default"/>
              <w:rPr>
                <w:rFonts w:ascii="Arial" w:hAnsi="Arial" w:cs="Arial"/>
                <w:b w:val="0"/>
                <w:sz w:val="20"/>
                <w:szCs w:val="20"/>
              </w:rPr>
            </w:pPr>
          </w:p>
          <w:p w14:paraId="01B1F99A" w14:textId="1BD5B4A6" w:rsidR="00A7631E" w:rsidRPr="00E96DE0" w:rsidRDefault="00A7631E" w:rsidP="00A7631E">
            <w:pPr>
              <w:pStyle w:val="Default"/>
              <w:rPr>
                <w:rFonts w:ascii="Arial" w:hAnsi="Arial" w:cs="Arial"/>
                <w:b w:val="0"/>
                <w:sz w:val="20"/>
                <w:szCs w:val="20"/>
              </w:rPr>
            </w:pPr>
            <w:r w:rsidRPr="00E96DE0">
              <w:rPr>
                <w:rFonts w:ascii="Arial" w:hAnsi="Arial" w:cs="Arial"/>
                <w:b w:val="0"/>
                <w:sz w:val="20"/>
                <w:szCs w:val="20"/>
              </w:rPr>
              <w:t>The proposed definition is an open-ended definition; that is a list of some plants and plant products that are considered to be herbs and spices with the proviso that other plant material</w:t>
            </w:r>
            <w:r w:rsidR="005C2A87">
              <w:rPr>
                <w:rFonts w:ascii="Arial" w:hAnsi="Arial" w:cs="Arial"/>
                <w:b w:val="0"/>
                <w:sz w:val="20"/>
                <w:szCs w:val="20"/>
              </w:rPr>
              <w:t xml:space="preserve"> may also be herbs and spices.</w:t>
            </w:r>
          </w:p>
          <w:p w14:paraId="23C142CB" w14:textId="77777777" w:rsidR="00A7631E" w:rsidRPr="00E96DE0" w:rsidRDefault="00A7631E" w:rsidP="00A7631E">
            <w:pPr>
              <w:pStyle w:val="Default"/>
              <w:rPr>
                <w:rFonts w:ascii="Arial" w:hAnsi="Arial" w:cs="Arial"/>
                <w:b w:val="0"/>
                <w:sz w:val="20"/>
                <w:szCs w:val="20"/>
              </w:rPr>
            </w:pPr>
          </w:p>
          <w:p w14:paraId="482C21EA" w14:textId="77777777" w:rsidR="00A7631E" w:rsidRPr="00E96DE0" w:rsidRDefault="00A7631E" w:rsidP="00A7631E">
            <w:pPr>
              <w:pStyle w:val="Default"/>
              <w:rPr>
                <w:rFonts w:ascii="Arial" w:hAnsi="Arial" w:cs="Arial"/>
                <w:b w:val="0"/>
                <w:sz w:val="20"/>
                <w:szCs w:val="20"/>
              </w:rPr>
            </w:pPr>
            <w:r w:rsidRPr="00E96DE0">
              <w:rPr>
                <w:rFonts w:ascii="Arial" w:hAnsi="Arial" w:cs="Arial"/>
                <w:b w:val="0"/>
                <w:sz w:val="20"/>
                <w:szCs w:val="20"/>
              </w:rPr>
              <w:t>This means that enforcement agencies will still need to make a decision about whether the material is a herb or spice without specific information to aid the decision.</w:t>
            </w:r>
          </w:p>
          <w:p w14:paraId="601DF961" w14:textId="77777777" w:rsidR="00A7631E" w:rsidRPr="00E96DE0" w:rsidRDefault="00A7631E" w:rsidP="00A7631E">
            <w:pPr>
              <w:pStyle w:val="Default"/>
              <w:rPr>
                <w:rFonts w:ascii="Arial" w:hAnsi="Arial" w:cs="Arial"/>
                <w:b w:val="0"/>
                <w:sz w:val="20"/>
                <w:szCs w:val="20"/>
              </w:rPr>
            </w:pPr>
          </w:p>
          <w:p w14:paraId="78F4E33D" w14:textId="77777777" w:rsidR="00A7631E" w:rsidRPr="00E96DE0" w:rsidRDefault="00A7631E" w:rsidP="00A7631E">
            <w:pPr>
              <w:pStyle w:val="Default"/>
              <w:rPr>
                <w:rFonts w:ascii="Arial" w:hAnsi="Arial" w:cs="Arial"/>
                <w:sz w:val="20"/>
                <w:szCs w:val="20"/>
              </w:rPr>
            </w:pPr>
            <w:r w:rsidRPr="00E96DE0">
              <w:rPr>
                <w:rFonts w:ascii="Arial" w:hAnsi="Arial" w:cs="Arial"/>
                <w:b w:val="0"/>
                <w:sz w:val="20"/>
                <w:szCs w:val="20"/>
              </w:rPr>
              <w:t>This means that there will be no improvement of clarity in the decision process</w:t>
            </w:r>
            <w:r w:rsidRPr="00E96DE0">
              <w:rPr>
                <w:rFonts w:ascii="Arial" w:hAnsi="Arial" w:cs="Arial"/>
                <w:sz w:val="20"/>
                <w:szCs w:val="20"/>
              </w:rPr>
              <w:t xml:space="preserve">. </w:t>
            </w:r>
          </w:p>
          <w:p w14:paraId="65BE95AA" w14:textId="77777777" w:rsidR="00A7631E" w:rsidRPr="00E96DE0" w:rsidRDefault="00A7631E" w:rsidP="00A7631E">
            <w:pPr>
              <w:pStyle w:val="Default"/>
              <w:rPr>
                <w:rFonts w:ascii="Arial" w:hAnsi="Arial" w:cs="Arial"/>
                <w:sz w:val="20"/>
                <w:szCs w:val="20"/>
              </w:rPr>
            </w:pPr>
          </w:p>
          <w:p w14:paraId="5B809A5C" w14:textId="77777777" w:rsidR="00A7631E" w:rsidRPr="00E96DE0" w:rsidRDefault="00A7631E" w:rsidP="00A7631E">
            <w:pPr>
              <w:pStyle w:val="Default"/>
              <w:rPr>
                <w:rFonts w:ascii="Arial" w:hAnsi="Arial" w:cs="Arial"/>
                <w:b w:val="0"/>
                <w:sz w:val="20"/>
                <w:szCs w:val="20"/>
              </w:rPr>
            </w:pPr>
            <w:r w:rsidRPr="00E96DE0">
              <w:rPr>
                <w:rFonts w:ascii="Arial" w:hAnsi="Arial" w:cs="Arial"/>
                <w:b w:val="0"/>
                <w:sz w:val="20"/>
                <w:szCs w:val="20"/>
              </w:rPr>
              <w:t>For these reasons, no definition should be provided in the Code and the dictionary definitions for herbs and spices should be relied on instead.</w:t>
            </w:r>
          </w:p>
          <w:p w14:paraId="6FAEA212" w14:textId="77777777" w:rsidR="00A7631E" w:rsidRPr="00E96DE0" w:rsidRDefault="00A7631E" w:rsidP="00A7631E">
            <w:pPr>
              <w:pStyle w:val="Default"/>
              <w:rPr>
                <w:rFonts w:ascii="Arial" w:hAnsi="Arial" w:cs="Arial"/>
                <w:b w:val="0"/>
                <w:sz w:val="20"/>
                <w:szCs w:val="20"/>
              </w:rPr>
            </w:pPr>
          </w:p>
          <w:p w14:paraId="198C86E6" w14:textId="77777777" w:rsidR="00A7631E" w:rsidRPr="00E96DE0" w:rsidRDefault="00A7631E" w:rsidP="00A7631E">
            <w:pPr>
              <w:pStyle w:val="Default"/>
              <w:rPr>
                <w:rFonts w:ascii="Arial" w:hAnsi="Arial" w:cs="Arial"/>
                <w:sz w:val="20"/>
                <w:szCs w:val="20"/>
              </w:rPr>
            </w:pPr>
            <w:r w:rsidRPr="00E96DE0">
              <w:rPr>
                <w:rFonts w:ascii="Arial" w:hAnsi="Arial" w:cs="Arial"/>
                <w:b w:val="0"/>
                <w:sz w:val="20"/>
                <w:szCs w:val="20"/>
              </w:rPr>
              <w:t>Alternatively, if required, a dictionary definition of ‘a herb’ and ‘a spice’ or a modified dictionary definition could be included in the Code.</w:t>
            </w:r>
          </w:p>
          <w:p w14:paraId="194B8257" w14:textId="277372A3" w:rsidR="00A7631E" w:rsidRPr="00E96DE0" w:rsidRDefault="00A7631E" w:rsidP="00A7631E">
            <w:pPr>
              <w:pStyle w:val="FSTableText"/>
              <w:rPr>
                <w:b w:val="0"/>
              </w:rPr>
            </w:pPr>
          </w:p>
        </w:tc>
        <w:tc>
          <w:tcPr>
            <w:tcW w:w="1275" w:type="dxa"/>
            <w:tcBorders>
              <w:top w:val="single" w:sz="4" w:space="0" w:color="auto"/>
              <w:left w:val="single" w:sz="4" w:space="0" w:color="auto"/>
              <w:bottom w:val="single" w:sz="4" w:space="0" w:color="auto"/>
              <w:right w:val="single" w:sz="4" w:space="0" w:color="auto"/>
            </w:tcBorders>
          </w:tcPr>
          <w:p w14:paraId="00D3FA62" w14:textId="0EB516E4"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rPr>
                <w:lang w:bidi="ar-SA"/>
              </w:rPr>
            </w:pPr>
            <w:r w:rsidRPr="00E96DE0">
              <w:rPr>
                <w:lang w:bidi="ar-SA"/>
              </w:rPr>
              <w:t>South Australia Health</w:t>
            </w:r>
          </w:p>
        </w:tc>
        <w:tc>
          <w:tcPr>
            <w:tcW w:w="3962" w:type="dxa"/>
            <w:tcBorders>
              <w:top w:val="single" w:sz="4" w:space="0" w:color="auto"/>
              <w:left w:val="single" w:sz="4" w:space="0" w:color="auto"/>
              <w:bottom w:val="single" w:sz="4" w:space="0" w:color="auto"/>
            </w:tcBorders>
          </w:tcPr>
          <w:p w14:paraId="0DF237F0"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r w:rsidRPr="00E96DE0">
              <w:t xml:space="preserve">Noted. </w:t>
            </w:r>
          </w:p>
          <w:p w14:paraId="20589A34"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p>
          <w:p w14:paraId="02207038"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r w:rsidRPr="00E96DE0">
              <w:t>FSANZ does not share SA Health view.</w:t>
            </w:r>
          </w:p>
          <w:p w14:paraId="317DD815" w14:textId="77777777" w:rsidR="00A7631E" w:rsidRPr="00E96DE0" w:rsidRDefault="00A7631E" w:rsidP="00A7631E">
            <w:pPr>
              <w:pStyle w:val="Default"/>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p>
          <w:p w14:paraId="43D758E6" w14:textId="77777777" w:rsidR="00A7631E" w:rsidRPr="00E96DE0" w:rsidRDefault="00A7631E" w:rsidP="00A7631E">
            <w:pPr>
              <w:pStyle w:val="Default"/>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r w:rsidRPr="00E96DE0">
              <w:rPr>
                <w:rFonts w:ascii="Arial" w:eastAsiaTheme="minorHAnsi" w:hAnsi="Arial" w:cs="Arial"/>
                <w:sz w:val="20"/>
                <w:szCs w:val="20"/>
              </w:rPr>
              <w:t xml:space="preserve">Having no definition in the Code will mean that </w:t>
            </w:r>
            <w:r w:rsidRPr="00E96DE0">
              <w:rPr>
                <w:rFonts w:ascii="Arial" w:hAnsi="Arial" w:cs="Arial"/>
                <w:sz w:val="20"/>
                <w:szCs w:val="20"/>
              </w:rPr>
              <w:t>enforcement officers must make decisions without any specific information to aid their decision</w:t>
            </w:r>
            <w:r w:rsidRPr="00E96DE0">
              <w:rPr>
                <w:rFonts w:ascii="Arial" w:eastAsiaTheme="minorHAnsi" w:hAnsi="Arial" w:cs="Arial"/>
                <w:sz w:val="20"/>
                <w:szCs w:val="20"/>
              </w:rPr>
              <w:t xml:space="preserve"> other than an open ended (dictionary) definition.</w:t>
            </w:r>
          </w:p>
          <w:p w14:paraId="377A5409" w14:textId="77777777" w:rsidR="00A7631E" w:rsidRPr="00E96DE0" w:rsidRDefault="00A7631E" w:rsidP="00A7631E">
            <w:pPr>
              <w:pStyle w:val="Default"/>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p>
          <w:p w14:paraId="6AF6A6FF" w14:textId="3F11E5E8" w:rsidR="00A7631E" w:rsidRPr="00E96DE0" w:rsidRDefault="00A7631E" w:rsidP="00A7631E">
            <w:pPr>
              <w:pStyle w:val="Default"/>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r w:rsidRPr="00E96DE0">
              <w:rPr>
                <w:rFonts w:ascii="Arial" w:eastAsiaTheme="minorHAnsi" w:hAnsi="Arial" w:cs="Arial"/>
                <w:sz w:val="20"/>
                <w:szCs w:val="20"/>
              </w:rPr>
              <w:t>The effect of the proposed amendment will be that the terms ‘herb’ and ‘spice</w:t>
            </w:r>
            <w:r w:rsidR="00156F65">
              <w:rPr>
                <w:rFonts w:ascii="Arial" w:eastAsiaTheme="minorHAnsi" w:hAnsi="Arial" w:cs="Arial"/>
                <w:sz w:val="20"/>
                <w:szCs w:val="20"/>
              </w:rPr>
              <w:t>’</w:t>
            </w:r>
            <w:r w:rsidRPr="00E96DE0">
              <w:rPr>
                <w:rFonts w:ascii="Arial" w:eastAsiaTheme="minorHAnsi" w:hAnsi="Arial" w:cs="Arial"/>
                <w:sz w:val="20"/>
                <w:szCs w:val="20"/>
              </w:rPr>
              <w:t xml:space="preserve"> in section 1.5.3</w:t>
            </w:r>
            <w:r w:rsidRPr="00E96DE0">
              <w:rPr>
                <w:rFonts w:ascii="Arial" w:hAnsi="Arial" w:cs="Arial"/>
                <w:sz w:val="20"/>
                <w:szCs w:val="20"/>
              </w:rPr>
              <w:t>—</w:t>
            </w:r>
            <w:r w:rsidRPr="00E96DE0">
              <w:rPr>
                <w:rFonts w:ascii="Arial" w:eastAsiaTheme="minorHAnsi" w:hAnsi="Arial" w:cs="Arial"/>
                <w:sz w:val="20"/>
                <w:szCs w:val="20"/>
              </w:rPr>
              <w:t xml:space="preserve">4 have their ordinary and accepted meaning and include a herb or a spice listed or described in Schedule 22. </w:t>
            </w:r>
            <w:r w:rsidRPr="00E96DE0">
              <w:rPr>
                <w:rFonts w:ascii="Arial" w:hAnsi="Arial" w:cs="Arial"/>
                <w:sz w:val="20"/>
                <w:szCs w:val="20"/>
              </w:rPr>
              <w:t>That list and that description provide a clear statement and guidance for enforcement officers as to what is a herb and a spice for the purposes of</w:t>
            </w:r>
            <w:r w:rsidRPr="00E96DE0">
              <w:rPr>
                <w:rFonts w:ascii="Arial" w:hAnsi="Arial" w:cs="Arial"/>
                <w:b/>
                <w:sz w:val="20"/>
                <w:szCs w:val="20"/>
              </w:rPr>
              <w:t xml:space="preserve"> </w:t>
            </w:r>
            <w:r w:rsidR="005C2A87">
              <w:rPr>
                <w:rFonts w:ascii="Arial" w:eastAsiaTheme="minorHAnsi" w:hAnsi="Arial" w:cs="Arial"/>
                <w:sz w:val="20"/>
                <w:szCs w:val="20"/>
              </w:rPr>
              <w:t>section 1.5.3</w:t>
            </w:r>
            <w:r w:rsidR="00156F65" w:rsidRPr="00E96DE0">
              <w:rPr>
                <w:rFonts w:ascii="Arial" w:hAnsi="Arial" w:cs="Arial"/>
                <w:sz w:val="20"/>
                <w:szCs w:val="20"/>
              </w:rPr>
              <w:t>—</w:t>
            </w:r>
            <w:r w:rsidR="005C2A87">
              <w:rPr>
                <w:rFonts w:ascii="Arial" w:eastAsiaTheme="minorHAnsi" w:hAnsi="Arial" w:cs="Arial"/>
                <w:sz w:val="20"/>
                <w:szCs w:val="20"/>
              </w:rPr>
              <w:t>4.</w:t>
            </w:r>
          </w:p>
          <w:p w14:paraId="13717AA7" w14:textId="77777777" w:rsidR="00A7631E" w:rsidRPr="00E96DE0" w:rsidRDefault="00A7631E" w:rsidP="00A7631E">
            <w:pPr>
              <w:pStyle w:val="Default"/>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p>
          <w:p w14:paraId="037B0F72" w14:textId="76F4A467" w:rsidR="00A7631E" w:rsidRPr="00E96DE0" w:rsidRDefault="00A7631E" w:rsidP="00A7631E">
            <w:pPr>
              <w:pStyle w:val="Default"/>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r w:rsidRPr="00E96DE0">
              <w:rPr>
                <w:rFonts w:ascii="Arial" w:eastAsiaTheme="minorHAnsi" w:hAnsi="Arial" w:cs="Arial"/>
                <w:sz w:val="20"/>
                <w:szCs w:val="20"/>
              </w:rPr>
              <w:t xml:space="preserve">If the plant material in question is not in the list or covered by </w:t>
            </w:r>
            <w:r w:rsidR="00156F65">
              <w:rPr>
                <w:rFonts w:ascii="Arial" w:eastAsiaTheme="minorHAnsi" w:hAnsi="Arial" w:cs="Arial"/>
                <w:sz w:val="20"/>
                <w:szCs w:val="20"/>
              </w:rPr>
              <w:t xml:space="preserve">the </w:t>
            </w:r>
            <w:r w:rsidRPr="00E96DE0">
              <w:rPr>
                <w:rFonts w:ascii="Arial" w:eastAsiaTheme="minorHAnsi" w:hAnsi="Arial" w:cs="Arial"/>
                <w:sz w:val="20"/>
                <w:szCs w:val="20"/>
              </w:rPr>
              <w:t xml:space="preserve">description, the officers will then have to assess whether the plant material in question meets the ordinary and accepted meaning of what is a ‘herb’ or a ‘spice’. In doing so, they can have regard to dictionary definitions. </w:t>
            </w:r>
            <w:r w:rsidRPr="00E96DE0">
              <w:rPr>
                <w:rFonts w:ascii="Arial" w:hAnsi="Arial" w:cs="Arial"/>
                <w:sz w:val="20"/>
                <w:szCs w:val="20"/>
              </w:rPr>
              <w:t>In that situation, the decision making process for enforcement agencies will be the same as if there was no definition for ‘herb’ and ‘spice ’in the Code at all.</w:t>
            </w:r>
          </w:p>
          <w:p w14:paraId="230C336D"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p>
          <w:p w14:paraId="261D9A1E"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r w:rsidRPr="00E96DE0">
              <w:t>See also FSANZ responses to other submitters above.</w:t>
            </w:r>
          </w:p>
          <w:p w14:paraId="58AE293E"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p>
          <w:p w14:paraId="2C712024" w14:textId="59B9DC6E" w:rsidR="00A7631E" w:rsidRPr="00E96DE0" w:rsidRDefault="00A7631E" w:rsidP="00A7631E">
            <w:pPr>
              <w:pStyle w:val="Default"/>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r w:rsidRPr="00E96DE0">
              <w:rPr>
                <w:rFonts w:ascii="Arial" w:eastAsiaTheme="minorHAnsi" w:hAnsi="Arial" w:cs="Arial"/>
                <w:sz w:val="20"/>
                <w:szCs w:val="20"/>
              </w:rPr>
              <w:t xml:space="preserve">No other jurisdiction expressed such view or concern. </w:t>
            </w:r>
            <w:r w:rsidRPr="00E96DE0">
              <w:rPr>
                <w:rFonts w:ascii="Arial" w:eastAsiaTheme="minorHAnsi" w:hAnsi="Arial" w:cs="Arial"/>
                <w:sz w:val="20"/>
                <w:szCs w:val="20"/>
                <w:lang w:eastAsia="en-US"/>
              </w:rPr>
              <w:t xml:space="preserve">The Victorian Departments of Health and Human Services and Jobs, Precincts and Regions stated in their submission that the amendment would </w:t>
            </w:r>
            <w:r w:rsidRPr="00E96DE0">
              <w:rPr>
                <w:rFonts w:ascii="Arial" w:eastAsiaTheme="minorHAnsi" w:hAnsi="Arial" w:cs="Arial"/>
                <w:sz w:val="20"/>
                <w:szCs w:val="20"/>
              </w:rPr>
              <w:t>provide greater clarity. FSANZ also notes Australian industry submissions stating that the proposed amendment will provide certainty.</w:t>
            </w:r>
          </w:p>
          <w:p w14:paraId="5F392C9C" w14:textId="782BB9E0" w:rsidR="00A7631E" w:rsidRPr="00E96DE0" w:rsidRDefault="00A7631E" w:rsidP="00A7631E">
            <w:pPr>
              <w:cnfStyle w:val="000000010000" w:firstRow="0" w:lastRow="0" w:firstColumn="0" w:lastColumn="0" w:oddVBand="0" w:evenVBand="0" w:oddHBand="0" w:evenHBand="1" w:firstRowFirstColumn="0" w:firstRowLastColumn="0" w:lastRowFirstColumn="0" w:lastRowLastColumn="0"/>
              <w:rPr>
                <w:rFonts w:cs="Arial"/>
                <w:sz w:val="20"/>
                <w:szCs w:val="20"/>
                <w:lang w:val="en-AU"/>
              </w:rPr>
            </w:pPr>
          </w:p>
        </w:tc>
      </w:tr>
      <w:tr w:rsidR="00A7631E" w:rsidRPr="00E96DE0" w14:paraId="4FE1F41C" w14:textId="77777777" w:rsidTr="008D0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auto"/>
              <w:right w:val="single" w:sz="4" w:space="0" w:color="auto"/>
            </w:tcBorders>
          </w:tcPr>
          <w:p w14:paraId="22831ED8" w14:textId="58CB8A14" w:rsidR="00A7631E" w:rsidRPr="00E96DE0" w:rsidRDefault="00A7631E" w:rsidP="00A7631E">
            <w:pPr>
              <w:pStyle w:val="FSTableText"/>
              <w:rPr>
                <w:b w:val="0"/>
              </w:rPr>
            </w:pPr>
            <w:r w:rsidRPr="00E96DE0">
              <w:rPr>
                <w:b w:val="0"/>
                <w:color w:val="000000"/>
                <w:lang w:val="en-AU"/>
              </w:rPr>
              <w:t xml:space="preserve">Food classes in Schedule 22 were never intended as a set of definitions of foods that apply across the Code. The </w:t>
            </w:r>
            <w:r w:rsidRPr="00E96DE0">
              <w:rPr>
                <w:b w:val="0"/>
              </w:rPr>
              <w:t>definitions in Schedule for other foods may not align with the definitions in other parts of the Food Standards Code.</w:t>
            </w:r>
          </w:p>
        </w:tc>
        <w:tc>
          <w:tcPr>
            <w:tcW w:w="1275" w:type="dxa"/>
            <w:tcBorders>
              <w:left w:val="single" w:sz="4" w:space="0" w:color="auto"/>
              <w:bottom w:val="single" w:sz="4" w:space="0" w:color="auto"/>
              <w:right w:val="single" w:sz="4" w:space="0" w:color="auto"/>
            </w:tcBorders>
          </w:tcPr>
          <w:p w14:paraId="1B430AFB" w14:textId="12EF9308"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rPr>
                <w:lang w:bidi="ar-SA"/>
              </w:rPr>
            </w:pPr>
            <w:r w:rsidRPr="00E96DE0">
              <w:rPr>
                <w:lang w:bidi="ar-SA"/>
              </w:rPr>
              <w:t xml:space="preserve">South Australia Health </w:t>
            </w:r>
          </w:p>
        </w:tc>
        <w:tc>
          <w:tcPr>
            <w:tcW w:w="3962" w:type="dxa"/>
            <w:tcBorders>
              <w:left w:val="single" w:sz="4" w:space="0" w:color="auto"/>
              <w:bottom w:val="single" w:sz="4" w:space="0" w:color="auto"/>
            </w:tcBorders>
          </w:tcPr>
          <w:p w14:paraId="5BD49278" w14:textId="77777777" w:rsidR="00A7631E" w:rsidRPr="00E96DE0" w:rsidRDefault="00A7631E" w:rsidP="00A7631E">
            <w:pPr>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E96DE0">
              <w:rPr>
                <w:rFonts w:cs="Arial"/>
                <w:sz w:val="20"/>
                <w:szCs w:val="20"/>
                <w:lang w:val="en-AU"/>
              </w:rPr>
              <w:t xml:space="preserve">Noted. </w:t>
            </w:r>
          </w:p>
          <w:p w14:paraId="0503E548" w14:textId="77777777" w:rsidR="00A7631E" w:rsidRPr="00E96DE0" w:rsidRDefault="00A7631E" w:rsidP="00A7631E">
            <w:pPr>
              <w:cnfStyle w:val="000000100000" w:firstRow="0" w:lastRow="0" w:firstColumn="0" w:lastColumn="0" w:oddVBand="0" w:evenVBand="0" w:oddHBand="1" w:evenHBand="0" w:firstRowFirstColumn="0" w:firstRowLastColumn="0" w:lastRowFirstColumn="0" w:lastRowLastColumn="0"/>
              <w:rPr>
                <w:rFonts w:cs="Arial"/>
                <w:sz w:val="20"/>
                <w:szCs w:val="20"/>
                <w:lang w:val="en-AU"/>
              </w:rPr>
            </w:pPr>
          </w:p>
          <w:p w14:paraId="017FACEA" w14:textId="77777777" w:rsidR="00A7631E" w:rsidRPr="00E96DE0" w:rsidRDefault="00A7631E" w:rsidP="00A7631E">
            <w:pPr>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E96DE0">
              <w:rPr>
                <w:rFonts w:cs="Arial"/>
                <w:sz w:val="20"/>
                <w:szCs w:val="20"/>
                <w:lang w:val="en-AU"/>
              </w:rPr>
              <w:t xml:space="preserve">See FSANZ responses above. </w:t>
            </w:r>
          </w:p>
          <w:p w14:paraId="7608EFBC" w14:textId="53840204"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p>
        </w:tc>
      </w:tr>
      <w:tr w:rsidR="00A7631E" w:rsidRPr="00E96DE0" w14:paraId="02246A15" w14:textId="77777777" w:rsidTr="008D0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bottom w:val="single" w:sz="4" w:space="0" w:color="auto"/>
              <w:right w:val="single" w:sz="4" w:space="0" w:color="auto"/>
            </w:tcBorders>
          </w:tcPr>
          <w:p w14:paraId="4DCF422F" w14:textId="77777777" w:rsidR="00A7631E" w:rsidRPr="00E96DE0" w:rsidRDefault="00A7631E" w:rsidP="00A7631E">
            <w:pPr>
              <w:pStyle w:val="FSTableText"/>
              <w:rPr>
                <w:b w:val="0"/>
              </w:rPr>
            </w:pPr>
            <w:r w:rsidRPr="00E96DE0">
              <w:rPr>
                <w:b w:val="0"/>
              </w:rPr>
              <w:lastRenderedPageBreak/>
              <w:t>It is important that the definition for herbs and spices should not include plant materials listed in Schedule 23 Prohibited plants and fungi.</w:t>
            </w:r>
          </w:p>
          <w:p w14:paraId="3529AEA4" w14:textId="7B42D416" w:rsidR="00A7631E" w:rsidRPr="00E96DE0" w:rsidRDefault="00A7631E" w:rsidP="00A7631E">
            <w:pPr>
              <w:pStyle w:val="FSTableText"/>
              <w:rPr>
                <w:b w:val="0"/>
              </w:rPr>
            </w:pPr>
          </w:p>
        </w:tc>
        <w:tc>
          <w:tcPr>
            <w:tcW w:w="1275" w:type="dxa"/>
            <w:tcBorders>
              <w:top w:val="single" w:sz="4" w:space="0" w:color="auto"/>
              <w:left w:val="single" w:sz="4" w:space="0" w:color="auto"/>
              <w:bottom w:val="single" w:sz="4" w:space="0" w:color="auto"/>
              <w:right w:val="single" w:sz="4" w:space="0" w:color="auto"/>
            </w:tcBorders>
          </w:tcPr>
          <w:p w14:paraId="1B1D8F6A" w14:textId="70B791DF"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rPr>
                <w:lang w:bidi="ar-SA"/>
              </w:rPr>
            </w:pPr>
            <w:r w:rsidRPr="00E96DE0">
              <w:rPr>
                <w:lang w:bidi="ar-SA"/>
              </w:rPr>
              <w:t xml:space="preserve">South Australia Health </w:t>
            </w:r>
          </w:p>
        </w:tc>
        <w:tc>
          <w:tcPr>
            <w:tcW w:w="3962" w:type="dxa"/>
            <w:tcBorders>
              <w:top w:val="single" w:sz="4" w:space="0" w:color="auto"/>
              <w:left w:val="single" w:sz="4" w:space="0" w:color="auto"/>
              <w:bottom w:val="single" w:sz="4" w:space="0" w:color="auto"/>
            </w:tcBorders>
          </w:tcPr>
          <w:p w14:paraId="53CF7F62" w14:textId="2A245147" w:rsidR="00A7631E" w:rsidRPr="00E96DE0" w:rsidRDefault="005C2A87" w:rsidP="00A7631E">
            <w:pPr>
              <w:pStyle w:val="FSTableText"/>
              <w:cnfStyle w:val="000000010000" w:firstRow="0" w:lastRow="0" w:firstColumn="0" w:lastColumn="0" w:oddVBand="0" w:evenVBand="0" w:oddHBand="0" w:evenHBand="1" w:firstRowFirstColumn="0" w:firstRowLastColumn="0" w:lastRowFirstColumn="0" w:lastRowLastColumn="0"/>
            </w:pPr>
            <w:r>
              <w:t>Noted.</w:t>
            </w:r>
          </w:p>
          <w:p w14:paraId="5A56BF53"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p>
          <w:p w14:paraId="4CF6A799"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r w:rsidRPr="00E96DE0">
              <w:t xml:space="preserve">The reference in subsection 1.5.3—4(3) to herbs and spices has not permitted and will not permit </w:t>
            </w:r>
            <w:r w:rsidRPr="00E96DE0">
              <w:rPr>
                <w:lang w:val="en-AU"/>
              </w:rPr>
              <w:t>food for sale to consist of, or have as an ingredient or a component, a prohibited or restricted plant or fungus.</w:t>
            </w:r>
          </w:p>
          <w:p w14:paraId="2D886742"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p>
          <w:p w14:paraId="64EE1E2D"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r w:rsidRPr="00E96DE0">
              <w:t>The definition of herbs and spices in subsection 1.5.3—4(3) of the Code only relates to the irradiation of herbs and spices in accordance with section 1.5.3—4 of the Code.</w:t>
            </w:r>
          </w:p>
          <w:p w14:paraId="1E087DF7"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r w:rsidRPr="00E96DE0">
              <w:t xml:space="preserve"> </w:t>
            </w:r>
          </w:p>
          <w:p w14:paraId="46D5297F"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rPr>
                <w:lang w:val="en-AU"/>
              </w:rPr>
            </w:pPr>
            <w:r w:rsidRPr="00E96DE0">
              <w:rPr>
                <w:lang w:val="en-AU"/>
              </w:rPr>
              <w:t>In the Code, a permission to irradiate a food is not a permission for a food to contain prohibited plants and fungi.</w:t>
            </w:r>
          </w:p>
          <w:p w14:paraId="7AA5D2E3"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rPr>
                <w:lang w:val="en-AU"/>
              </w:rPr>
            </w:pPr>
          </w:p>
          <w:p w14:paraId="469841EE"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rPr>
                <w:lang w:val="en-AU"/>
              </w:rPr>
            </w:pPr>
            <w:r w:rsidRPr="00E96DE0">
              <w:rPr>
                <w:lang w:val="en-AU"/>
              </w:rPr>
              <w:t>A food for sale may only consist of, or have as an ingredient or a component, a prohibited or restricted plant or fungus if permitted by Standard 1.4.4.</w:t>
            </w:r>
          </w:p>
          <w:p w14:paraId="58139412" w14:textId="384AED0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p>
        </w:tc>
      </w:tr>
      <w:tr w:rsidR="00A7631E" w:rsidRPr="00E96DE0" w14:paraId="2EB64C9E" w14:textId="77777777" w:rsidTr="008D0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23" w:type="dxa"/>
            <w:tcBorders>
              <w:right w:val="single" w:sz="4" w:space="0" w:color="auto"/>
            </w:tcBorders>
          </w:tcPr>
          <w:p w14:paraId="24D03CE5" w14:textId="4C555913" w:rsidR="00A7631E" w:rsidRPr="00E96DE0" w:rsidRDefault="00A7631E" w:rsidP="00A7631E">
            <w:pPr>
              <w:pStyle w:val="FSTableText"/>
              <w:rPr>
                <w:b w:val="0"/>
              </w:rPr>
            </w:pPr>
            <w:r w:rsidRPr="00E96DE0">
              <w:rPr>
                <w:b w:val="0"/>
              </w:rPr>
              <w:t>Would like to see both labelling regulations and enforcement improved.</w:t>
            </w:r>
          </w:p>
        </w:tc>
        <w:tc>
          <w:tcPr>
            <w:tcW w:w="1275" w:type="dxa"/>
            <w:tcBorders>
              <w:left w:val="single" w:sz="4" w:space="0" w:color="auto"/>
              <w:right w:val="single" w:sz="4" w:space="0" w:color="auto"/>
            </w:tcBorders>
          </w:tcPr>
          <w:p w14:paraId="63BCDF34" w14:textId="424D6DC4"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r w:rsidRPr="00E96DE0">
              <w:t>FIWFEB</w:t>
            </w:r>
          </w:p>
        </w:tc>
        <w:tc>
          <w:tcPr>
            <w:tcW w:w="3962" w:type="dxa"/>
            <w:tcBorders>
              <w:left w:val="single" w:sz="4" w:space="0" w:color="auto"/>
            </w:tcBorders>
          </w:tcPr>
          <w:p w14:paraId="17D3DE2E"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r w:rsidRPr="00E96DE0">
              <w:t>Noted.</w:t>
            </w:r>
          </w:p>
          <w:p w14:paraId="35FF4C93"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p>
          <w:p w14:paraId="1E297048" w14:textId="6E3CFF51"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r w:rsidRPr="00E96DE0">
              <w:t xml:space="preserve">This is out of scope for this </w:t>
            </w:r>
            <w:r w:rsidR="00D94E60">
              <w:t>a</w:t>
            </w:r>
            <w:r w:rsidRPr="00E96DE0">
              <w:t>pplication.</w:t>
            </w:r>
          </w:p>
          <w:p w14:paraId="67331B97" w14:textId="1A62F4CC"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p>
        </w:tc>
      </w:tr>
      <w:tr w:rsidR="00A7631E" w:rsidRPr="00E96DE0" w14:paraId="4242C4AF" w14:textId="77777777" w:rsidTr="008D0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23" w:type="dxa"/>
            <w:tcBorders>
              <w:right w:val="single" w:sz="4" w:space="0" w:color="auto"/>
            </w:tcBorders>
          </w:tcPr>
          <w:p w14:paraId="56226BEB" w14:textId="77777777" w:rsidR="00A7631E" w:rsidRPr="00E96DE0" w:rsidRDefault="00A7631E" w:rsidP="00A7631E">
            <w:pPr>
              <w:pStyle w:val="FSTableText"/>
              <w:rPr>
                <w:b w:val="0"/>
              </w:rPr>
            </w:pPr>
            <w:r w:rsidRPr="00E96DE0">
              <w:rPr>
                <w:b w:val="0"/>
              </w:rPr>
              <w:t>Current regulations do not prescribe labelling statements nor do they require individual labelling of bulk irradiated products, such as fruit.</w:t>
            </w:r>
          </w:p>
          <w:p w14:paraId="0FC4C62F" w14:textId="796C987A" w:rsidR="00A7631E" w:rsidRPr="00E96DE0" w:rsidRDefault="00A7631E" w:rsidP="00A7631E">
            <w:pPr>
              <w:pStyle w:val="FSTableText"/>
              <w:rPr>
                <w:b w:val="0"/>
              </w:rPr>
            </w:pPr>
          </w:p>
        </w:tc>
        <w:tc>
          <w:tcPr>
            <w:tcW w:w="1275" w:type="dxa"/>
            <w:tcBorders>
              <w:left w:val="single" w:sz="4" w:space="0" w:color="auto"/>
              <w:right w:val="single" w:sz="4" w:space="0" w:color="auto"/>
            </w:tcBorders>
          </w:tcPr>
          <w:p w14:paraId="0AF3A2E3" w14:textId="2712B89F"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r w:rsidRPr="00E96DE0">
              <w:t>FIWFEB</w:t>
            </w:r>
          </w:p>
        </w:tc>
        <w:tc>
          <w:tcPr>
            <w:tcW w:w="3962" w:type="dxa"/>
            <w:tcBorders>
              <w:left w:val="single" w:sz="4" w:space="0" w:color="auto"/>
            </w:tcBorders>
          </w:tcPr>
          <w:p w14:paraId="26538BC5"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r w:rsidRPr="00E96DE0">
              <w:t>Noted.</w:t>
            </w:r>
          </w:p>
          <w:p w14:paraId="1FCFC4E1" w14:textId="77777777" w:rsidR="00A7631E" w:rsidRPr="00E96DE0" w:rsidRDefault="00A7631E" w:rsidP="00A7631E">
            <w:pPr>
              <w:pStyle w:val="FSTableText"/>
              <w:cnfStyle w:val="000000010000" w:firstRow="0" w:lastRow="0" w:firstColumn="0" w:lastColumn="0" w:oddVBand="0" w:evenVBand="0" w:oddHBand="0" w:evenHBand="1" w:firstRowFirstColumn="0" w:firstRowLastColumn="0" w:lastRowFirstColumn="0" w:lastRowLastColumn="0"/>
            </w:pPr>
          </w:p>
          <w:p w14:paraId="3FBC9F94" w14:textId="48C714E4" w:rsidR="00A7631E" w:rsidRPr="00E96DE0" w:rsidRDefault="00A7631E" w:rsidP="00D94E60">
            <w:pPr>
              <w:pStyle w:val="FSTableText"/>
              <w:cnfStyle w:val="000000010000" w:firstRow="0" w:lastRow="0" w:firstColumn="0" w:lastColumn="0" w:oddVBand="0" w:evenVBand="0" w:oddHBand="0" w:evenHBand="1" w:firstRowFirstColumn="0" w:firstRowLastColumn="0" w:lastRowFirstColumn="0" w:lastRowLastColumn="0"/>
            </w:pPr>
            <w:r w:rsidRPr="00E96DE0">
              <w:t xml:space="preserve">This is out of scope for this </w:t>
            </w:r>
            <w:r w:rsidR="00D94E60">
              <w:t>a</w:t>
            </w:r>
            <w:r w:rsidRPr="00E96DE0">
              <w:t>pplication.</w:t>
            </w:r>
          </w:p>
        </w:tc>
      </w:tr>
      <w:tr w:rsidR="00A7631E" w:rsidRPr="00E96DE0" w14:paraId="4A17085B" w14:textId="77777777" w:rsidTr="00CA64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auto"/>
              <w:right w:val="single" w:sz="4" w:space="0" w:color="auto"/>
            </w:tcBorders>
          </w:tcPr>
          <w:p w14:paraId="4BB1DF9F" w14:textId="47183F63" w:rsidR="00A7631E" w:rsidRPr="00E96DE0" w:rsidRDefault="00A7631E" w:rsidP="00A7631E">
            <w:pPr>
              <w:pStyle w:val="FSTableText"/>
              <w:rPr>
                <w:b w:val="0"/>
              </w:rPr>
            </w:pPr>
            <w:r w:rsidRPr="00E96DE0">
              <w:rPr>
                <w:b w:val="0"/>
              </w:rPr>
              <w:t>Concerns with food irradiation in general, including comments on other irradiation permissions in the Code, and the related safety assessments.</w:t>
            </w:r>
          </w:p>
        </w:tc>
        <w:tc>
          <w:tcPr>
            <w:tcW w:w="1275" w:type="dxa"/>
            <w:tcBorders>
              <w:left w:val="single" w:sz="4" w:space="0" w:color="auto"/>
              <w:bottom w:val="single" w:sz="4" w:space="0" w:color="auto"/>
              <w:right w:val="single" w:sz="4" w:space="0" w:color="auto"/>
            </w:tcBorders>
          </w:tcPr>
          <w:p w14:paraId="01DCB5B3" w14:textId="18E76DAE"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r w:rsidRPr="00E96DE0">
              <w:rPr>
                <w:lang w:bidi="ar-SA"/>
              </w:rPr>
              <w:t>FIWFEB</w:t>
            </w:r>
          </w:p>
        </w:tc>
        <w:tc>
          <w:tcPr>
            <w:tcW w:w="3962" w:type="dxa"/>
            <w:tcBorders>
              <w:left w:val="single" w:sz="4" w:space="0" w:color="auto"/>
              <w:bottom w:val="single" w:sz="4" w:space="0" w:color="auto"/>
            </w:tcBorders>
          </w:tcPr>
          <w:p w14:paraId="2D11545A"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r w:rsidRPr="00E96DE0">
              <w:t>Noted.</w:t>
            </w:r>
          </w:p>
          <w:p w14:paraId="0CDDD9B7" w14:textId="77777777"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p>
          <w:p w14:paraId="35F5ECDD" w14:textId="5DCC1AA1"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r w:rsidRPr="00E96DE0">
              <w:t xml:space="preserve">These are out of scope for this </w:t>
            </w:r>
            <w:r w:rsidR="00D94E60">
              <w:t>a</w:t>
            </w:r>
            <w:r w:rsidRPr="00E96DE0">
              <w:t>pplication.</w:t>
            </w:r>
          </w:p>
          <w:p w14:paraId="0B334CD4" w14:textId="6A2DBD0A" w:rsidR="00A7631E" w:rsidRPr="00E96DE0" w:rsidRDefault="00A7631E" w:rsidP="00A7631E">
            <w:pPr>
              <w:pStyle w:val="FSTableText"/>
              <w:cnfStyle w:val="000000100000" w:firstRow="0" w:lastRow="0" w:firstColumn="0" w:lastColumn="0" w:oddVBand="0" w:evenVBand="0" w:oddHBand="1" w:evenHBand="0" w:firstRowFirstColumn="0" w:firstRowLastColumn="0" w:lastRowFirstColumn="0" w:lastRowLastColumn="0"/>
            </w:pPr>
          </w:p>
        </w:tc>
      </w:tr>
    </w:tbl>
    <w:p w14:paraId="76871BAC" w14:textId="77777777" w:rsidR="007A53BF" w:rsidRPr="00E96DE0" w:rsidRDefault="007A53BF" w:rsidP="007A53BF">
      <w:pPr>
        <w:rPr>
          <w:rFonts w:cs="Arial"/>
          <w:color w:val="00B050"/>
          <w:sz w:val="20"/>
          <w:szCs w:val="20"/>
        </w:rPr>
      </w:pPr>
    </w:p>
    <w:p w14:paraId="2D0BF99D" w14:textId="77777777" w:rsidR="002C1A3B" w:rsidRPr="00932F14" w:rsidRDefault="002C1A3B" w:rsidP="002C1A3B">
      <w:pPr>
        <w:pStyle w:val="Heading2"/>
      </w:pPr>
      <w:bookmarkStart w:id="69" w:name="_Toc370223472"/>
      <w:bookmarkStart w:id="70" w:name="_Toc370225387"/>
      <w:bookmarkStart w:id="71" w:name="_Toc19270493"/>
      <w:bookmarkStart w:id="72" w:name="_Toc309291812"/>
      <w:bookmarkStart w:id="73" w:name="_Toc175381442"/>
      <w:bookmarkEnd w:id="63"/>
      <w:bookmarkEnd w:id="64"/>
      <w:bookmarkEnd w:id="65"/>
      <w:bookmarkEnd w:id="66"/>
      <w:bookmarkEnd w:id="67"/>
      <w:bookmarkEnd w:id="68"/>
      <w:r>
        <w:t>2.2</w:t>
      </w:r>
      <w:r>
        <w:tab/>
      </w:r>
      <w:r w:rsidRPr="00932F14">
        <w:t xml:space="preserve">Risk </w:t>
      </w:r>
      <w:r>
        <w:t>a</w:t>
      </w:r>
      <w:r w:rsidRPr="00932F14">
        <w:t>ssessment</w:t>
      </w:r>
      <w:bookmarkEnd w:id="69"/>
      <w:bookmarkEnd w:id="70"/>
      <w:bookmarkEnd w:id="71"/>
      <w:r w:rsidRPr="00932F14">
        <w:t xml:space="preserve"> </w:t>
      </w:r>
    </w:p>
    <w:p w14:paraId="66EC5ECE" w14:textId="5418A173" w:rsidR="000B6429" w:rsidRDefault="000B6429" w:rsidP="000B6429">
      <w:pPr>
        <w:rPr>
          <w:rFonts w:cs="Arial"/>
        </w:rPr>
      </w:pPr>
      <w:bookmarkStart w:id="74" w:name="_Toc370223473"/>
      <w:bookmarkStart w:id="75" w:name="_Toc370225388"/>
      <w:bookmarkStart w:id="76" w:name="_Toc175381450"/>
      <w:bookmarkEnd w:id="72"/>
      <w:bookmarkEnd w:id="73"/>
      <w:r>
        <w:rPr>
          <w:rFonts w:cs="Arial"/>
        </w:rPr>
        <w:t xml:space="preserve">FSANZ’s assessment </w:t>
      </w:r>
      <w:r w:rsidR="00F66A74">
        <w:rPr>
          <w:rFonts w:cs="Arial"/>
        </w:rPr>
        <w:t xml:space="preserve">was </w:t>
      </w:r>
      <w:r>
        <w:rPr>
          <w:rFonts w:cs="Arial"/>
        </w:rPr>
        <w:t xml:space="preserve">that amending the Code to provide clarity and confirm the meaning of herbs and spices for the purposes of the permission provided by section </w:t>
      </w:r>
      <w:r>
        <w:rPr>
          <w:lang w:bidi="ar-SA"/>
        </w:rPr>
        <w:t xml:space="preserve">1.5.3—4 </w:t>
      </w:r>
      <w:r>
        <w:rPr>
          <w:rFonts w:cs="Arial"/>
        </w:rPr>
        <w:t>would not pose potential adverse health effects.</w:t>
      </w:r>
    </w:p>
    <w:p w14:paraId="14FDF827" w14:textId="77777777" w:rsidR="000B6429" w:rsidRDefault="000B6429" w:rsidP="000B6429">
      <w:pPr>
        <w:rPr>
          <w:rFonts w:cs="Arial"/>
        </w:rPr>
      </w:pPr>
    </w:p>
    <w:p w14:paraId="6E25B88C" w14:textId="77777777" w:rsidR="000B6429" w:rsidRDefault="000B6429" w:rsidP="000B6429">
      <w:pPr>
        <w:rPr>
          <w:rFonts w:cs="Arial"/>
        </w:rPr>
      </w:pPr>
      <w:r>
        <w:rPr>
          <w:rFonts w:cs="Arial"/>
        </w:rPr>
        <w:t>The safety of</w:t>
      </w:r>
      <w:r w:rsidRPr="00AB0426">
        <w:rPr>
          <w:rFonts w:cs="Arial"/>
        </w:rPr>
        <w:t xml:space="preserve"> irradiated herbs and spices</w:t>
      </w:r>
      <w:r>
        <w:rPr>
          <w:rFonts w:cs="Arial"/>
        </w:rPr>
        <w:t xml:space="preserve"> was considered in 2001 under A413 (ANZFA 2001). T</w:t>
      </w:r>
      <w:r w:rsidRPr="00AB0426">
        <w:rPr>
          <w:rFonts w:cs="Arial"/>
        </w:rPr>
        <w:t>he Fin</w:t>
      </w:r>
      <w:r>
        <w:rPr>
          <w:rFonts w:cs="Arial"/>
        </w:rPr>
        <w:t>al Assessment Report for A413 concluded that there is no evidence that irradiated plant material in the diet leads to toxicological concerns.</w:t>
      </w:r>
    </w:p>
    <w:p w14:paraId="3825BE88" w14:textId="77777777" w:rsidR="000B6429" w:rsidRDefault="000B6429" w:rsidP="000B6429">
      <w:pPr>
        <w:rPr>
          <w:rFonts w:cs="Arial"/>
        </w:rPr>
      </w:pPr>
    </w:p>
    <w:p w14:paraId="1B0B41FF" w14:textId="21D92D05" w:rsidR="000B6429" w:rsidRDefault="000B6429" w:rsidP="000B6429">
      <w:pPr>
        <w:widowControl/>
        <w:rPr>
          <w:rFonts w:cs="Arial"/>
        </w:rPr>
      </w:pPr>
      <w:r>
        <w:rPr>
          <w:rFonts w:cs="Arial"/>
        </w:rPr>
        <w:t xml:space="preserve">In addition, and since approval of A413, FSANZ has </w:t>
      </w:r>
      <w:r w:rsidRPr="00092C38">
        <w:rPr>
          <w:rFonts w:cs="Arial"/>
        </w:rPr>
        <w:t>assessed the technological need, safety and nutrient profile of various irradiated tropical fruits</w:t>
      </w:r>
      <w:r>
        <w:rPr>
          <w:rFonts w:cs="Arial"/>
        </w:rPr>
        <w:t>;</w:t>
      </w:r>
      <w:r w:rsidRPr="00092C38">
        <w:rPr>
          <w:rFonts w:cs="Arial"/>
        </w:rPr>
        <w:t xml:space="preserve"> persimmons</w:t>
      </w:r>
      <w:r>
        <w:rPr>
          <w:rFonts w:cs="Arial"/>
        </w:rPr>
        <w:t>;</w:t>
      </w:r>
      <w:r w:rsidRPr="00092C38">
        <w:rPr>
          <w:rFonts w:cs="Arial"/>
        </w:rPr>
        <w:t xml:space="preserve"> tomatoes and capsicums</w:t>
      </w:r>
      <w:r>
        <w:rPr>
          <w:rFonts w:cs="Arial"/>
        </w:rPr>
        <w:t xml:space="preserve">; </w:t>
      </w:r>
      <w:r w:rsidRPr="0025772E">
        <w:t>apple, apricot, cherry, nectarine, peach, plum, honeydew, rock melon, scall</w:t>
      </w:r>
      <w:r>
        <w:t xml:space="preserve">opini, strawberry, table grape and </w:t>
      </w:r>
      <w:r w:rsidRPr="0025772E">
        <w:t>zucchini (courg</w:t>
      </w:r>
      <w:r>
        <w:t xml:space="preserve">ette); and raspberries and blueberries. </w:t>
      </w:r>
      <w:r w:rsidRPr="00092C38">
        <w:rPr>
          <w:rFonts w:cs="Arial"/>
        </w:rPr>
        <w:t xml:space="preserve">These assessments were conducted </w:t>
      </w:r>
      <w:r>
        <w:rPr>
          <w:rFonts w:cs="Arial"/>
        </w:rPr>
        <w:t xml:space="preserve">under </w:t>
      </w:r>
      <w:r w:rsidR="00D94E60">
        <w:rPr>
          <w:rFonts w:cs="Arial"/>
        </w:rPr>
        <w:t>A</w:t>
      </w:r>
      <w:r>
        <w:rPr>
          <w:rFonts w:cs="Arial"/>
        </w:rPr>
        <w:t>pplications A443, A1038, A1069, A1092 and A1115 (FSANZ 2002, FSA</w:t>
      </w:r>
      <w:r w:rsidR="005C2A87">
        <w:rPr>
          <w:rFonts w:cs="Arial"/>
        </w:rPr>
        <w:t>NZ 2011, FSANZ 2013, FSANZ 2014</w:t>
      </w:r>
      <w:r>
        <w:rPr>
          <w:rFonts w:cs="Arial"/>
        </w:rPr>
        <w:t xml:space="preserve"> </w:t>
      </w:r>
      <w:r w:rsidR="00DB7C23">
        <w:rPr>
          <w:rFonts w:cs="Arial"/>
        </w:rPr>
        <w:t xml:space="preserve">and </w:t>
      </w:r>
      <w:r>
        <w:rPr>
          <w:rFonts w:cs="Arial"/>
        </w:rPr>
        <w:t>FSANZ 2016</w:t>
      </w:r>
      <w:r w:rsidR="005C2A87">
        <w:rPr>
          <w:rFonts w:cs="Arial"/>
        </w:rPr>
        <w:t>,</w:t>
      </w:r>
      <w:r>
        <w:rPr>
          <w:rFonts w:cs="Arial"/>
        </w:rPr>
        <w:t xml:space="preserve"> respectively). </w:t>
      </w:r>
      <w:r w:rsidRPr="00092C38">
        <w:rPr>
          <w:rFonts w:cs="Arial"/>
        </w:rPr>
        <w:t xml:space="preserve">FSANZ concluded that there was an established need to irradiate </w:t>
      </w:r>
      <w:r>
        <w:rPr>
          <w:rFonts w:cs="Arial"/>
        </w:rPr>
        <w:t>these foods</w:t>
      </w:r>
      <w:r w:rsidRPr="00092C38">
        <w:rPr>
          <w:rFonts w:cs="Arial"/>
        </w:rPr>
        <w:t xml:space="preserve"> and that there were no </w:t>
      </w:r>
      <w:r w:rsidRPr="00092C38">
        <w:rPr>
          <w:rFonts w:cs="Arial"/>
        </w:rPr>
        <w:lastRenderedPageBreak/>
        <w:t>public health and safety issues associated with their consumption when irradiated up to a maximum dose of 1 kGy.</w:t>
      </w:r>
    </w:p>
    <w:p w14:paraId="19EF9E45" w14:textId="77777777" w:rsidR="000B6429" w:rsidRDefault="000B6429" w:rsidP="000B6429">
      <w:pPr>
        <w:widowControl/>
        <w:rPr>
          <w:rFonts w:cs="Arial"/>
        </w:rPr>
      </w:pPr>
    </w:p>
    <w:p w14:paraId="18976D3F" w14:textId="77777777" w:rsidR="000B6429" w:rsidRDefault="000B6429" w:rsidP="000B6429">
      <w:pPr>
        <w:widowControl/>
        <w:autoSpaceDE w:val="0"/>
        <w:autoSpaceDN w:val="0"/>
        <w:adjustRightInd w:val="0"/>
        <w:rPr>
          <w:rFonts w:cs="Arial"/>
          <w:szCs w:val="22"/>
          <w:lang w:val="en-AU" w:eastAsia="en-GB" w:bidi="ar-SA"/>
        </w:rPr>
      </w:pPr>
      <w:r w:rsidRPr="004F0397">
        <w:rPr>
          <w:rFonts w:cs="Arial"/>
          <w:szCs w:val="22"/>
          <w:lang w:val="en-AU" w:eastAsia="en-GB" w:bidi="ar-SA"/>
        </w:rPr>
        <w:t xml:space="preserve">In conclusion, as the toxicological and microbiological safety of and technological justification for the irradiation of herbs and spices was previously assessed in the context of A413, and as no recent application </w:t>
      </w:r>
      <w:r>
        <w:rPr>
          <w:rFonts w:cs="Arial"/>
          <w:szCs w:val="22"/>
          <w:lang w:val="en-AU" w:eastAsia="en-GB" w:bidi="ar-SA"/>
        </w:rPr>
        <w:t xml:space="preserve">or other available information </w:t>
      </w:r>
      <w:r w:rsidRPr="004F0397">
        <w:rPr>
          <w:rFonts w:cs="Arial"/>
          <w:szCs w:val="22"/>
          <w:lang w:val="en-AU" w:eastAsia="en-GB" w:bidi="ar-SA"/>
        </w:rPr>
        <w:t>has highlighted any public health and safety concerns from irradiated foods, a risk assessment for this application was not undertaken by FSANZ.</w:t>
      </w:r>
    </w:p>
    <w:p w14:paraId="0446DBDD" w14:textId="77777777" w:rsidR="000B6429" w:rsidRDefault="000B6429" w:rsidP="000B6429">
      <w:pPr>
        <w:widowControl/>
        <w:autoSpaceDE w:val="0"/>
        <w:autoSpaceDN w:val="0"/>
        <w:adjustRightInd w:val="0"/>
        <w:rPr>
          <w:rFonts w:cs="Arial"/>
          <w:szCs w:val="22"/>
          <w:lang w:val="en-AU" w:eastAsia="en-GB" w:bidi="ar-SA"/>
        </w:rPr>
      </w:pPr>
    </w:p>
    <w:p w14:paraId="2D6D55D3" w14:textId="687E3022" w:rsidR="000B6429" w:rsidRPr="004F0397" w:rsidRDefault="000B6429" w:rsidP="000B6429">
      <w:pPr>
        <w:widowControl/>
        <w:autoSpaceDE w:val="0"/>
        <w:autoSpaceDN w:val="0"/>
        <w:adjustRightInd w:val="0"/>
        <w:rPr>
          <w:rFonts w:cs="Arial"/>
          <w:szCs w:val="22"/>
          <w:lang w:val="en-AU" w:eastAsia="en-GB" w:bidi="ar-SA"/>
        </w:rPr>
      </w:pPr>
      <w:r>
        <w:rPr>
          <w:rFonts w:cs="Arial"/>
        </w:rPr>
        <w:t>FSANZ’s assessment did, however, consider other issues relevant to Application A1163, as outlined in the following risk management section and in section 2.</w:t>
      </w:r>
      <w:r w:rsidR="00A70381">
        <w:rPr>
          <w:rFonts w:cs="Arial"/>
        </w:rPr>
        <w:t>5</w:t>
      </w:r>
      <w:r>
        <w:rPr>
          <w:rFonts w:cs="Arial"/>
        </w:rPr>
        <w:t>.</w:t>
      </w:r>
    </w:p>
    <w:p w14:paraId="5A22E112" w14:textId="77777777" w:rsidR="002C1A3B" w:rsidRPr="00932F14" w:rsidRDefault="002C1A3B" w:rsidP="002C1A3B">
      <w:pPr>
        <w:pStyle w:val="Heading2"/>
      </w:pPr>
      <w:bookmarkStart w:id="77" w:name="_Toc19270494"/>
      <w:r>
        <w:t>2.3</w:t>
      </w:r>
      <w:r>
        <w:tab/>
        <w:t>Risk management</w:t>
      </w:r>
      <w:bookmarkEnd w:id="74"/>
      <w:bookmarkEnd w:id="75"/>
      <w:bookmarkEnd w:id="77"/>
    </w:p>
    <w:p w14:paraId="0499A36F" w14:textId="26FAE627" w:rsidR="000B6429" w:rsidRDefault="000B6429" w:rsidP="000B6429">
      <w:pPr>
        <w:pStyle w:val="Heading3"/>
      </w:pPr>
      <w:bookmarkStart w:id="78" w:name="_Toc9242305"/>
      <w:bookmarkStart w:id="79" w:name="_Toc19270495"/>
      <w:bookmarkStart w:id="80" w:name="_Toc309291814"/>
      <w:bookmarkStart w:id="81" w:name="_Toc370225389"/>
      <w:bookmarkStart w:id="82" w:name="_Toc286391012"/>
      <w:bookmarkEnd w:id="76"/>
      <w:r>
        <w:t>2.3.1</w:t>
      </w:r>
      <w:r>
        <w:tab/>
        <w:t>Regulatory problem</w:t>
      </w:r>
      <w:bookmarkEnd w:id="78"/>
      <w:bookmarkEnd w:id="79"/>
      <w:r>
        <w:t xml:space="preserve"> </w:t>
      </w:r>
    </w:p>
    <w:p w14:paraId="151F84DC" w14:textId="77777777" w:rsidR="000B6429" w:rsidRDefault="000B6429" w:rsidP="000B6429">
      <w:r>
        <w:rPr>
          <w:rFonts w:cs="Arial"/>
        </w:rPr>
        <w:t xml:space="preserve">As explained in section 1.3, </w:t>
      </w:r>
      <w:r>
        <w:t xml:space="preserve">subsection 1.5.3—4(3) of the Code states that, for the purposes of irradiation permission, ‘herbs and spices means the herbs and spices described in Schedule 22’. Schedule 22 of the Code lists foods and classes of food. That list includes a separate class each for herbs and for spices. The entry in Schedule 22 for herbs and spices includes a general description of what constitutes a herb or a spice as well as a list of food commodities for each class. </w:t>
      </w:r>
    </w:p>
    <w:p w14:paraId="7538B3DA" w14:textId="77777777" w:rsidR="000B6429" w:rsidRDefault="000B6429" w:rsidP="000B6429"/>
    <w:p w14:paraId="1B589A6C" w14:textId="1BB4CE68" w:rsidR="000B6429" w:rsidRPr="00E80CFB" w:rsidRDefault="000B6429" w:rsidP="000B6429">
      <w:pPr>
        <w:rPr>
          <w:lang w:bidi="ar-SA"/>
        </w:rPr>
      </w:pPr>
      <w:r>
        <w:rPr>
          <w:rFonts w:cs="Arial"/>
        </w:rPr>
        <w:t xml:space="preserve">The applicant stated these general descriptions and accompanying commodity lists are ambiguous leading to difficulties </w:t>
      </w:r>
      <w:r w:rsidRPr="00A7417C">
        <w:rPr>
          <w:rFonts w:cs="Arial"/>
        </w:rPr>
        <w:t>for importers of</w:t>
      </w:r>
      <w:r>
        <w:rPr>
          <w:rFonts w:cs="Arial"/>
        </w:rPr>
        <w:t xml:space="preserve"> </w:t>
      </w:r>
      <w:r w:rsidRPr="00A7417C">
        <w:rPr>
          <w:rFonts w:cs="Arial"/>
        </w:rPr>
        <w:t>processed foods containing irradiated herbs and spices</w:t>
      </w:r>
      <w:r>
        <w:rPr>
          <w:rFonts w:cs="Arial"/>
        </w:rPr>
        <w:t>.</w:t>
      </w:r>
      <w:r>
        <w:t xml:space="preserve"> In some cases, </w:t>
      </w:r>
      <w:r w:rsidRPr="004547F1">
        <w:rPr>
          <w:rFonts w:cs="Arial"/>
        </w:rPr>
        <w:t xml:space="preserve">irradiated herbs and spices </w:t>
      </w:r>
      <w:r>
        <w:rPr>
          <w:rFonts w:cs="Arial"/>
        </w:rPr>
        <w:t xml:space="preserve">are </w:t>
      </w:r>
      <w:r w:rsidRPr="004547F1">
        <w:rPr>
          <w:rFonts w:cs="Arial"/>
        </w:rPr>
        <w:t xml:space="preserve">being stopped at the </w:t>
      </w:r>
      <w:r>
        <w:rPr>
          <w:rFonts w:cs="Arial"/>
        </w:rPr>
        <w:t xml:space="preserve">Australian import </w:t>
      </w:r>
      <w:r w:rsidRPr="004547F1">
        <w:rPr>
          <w:rFonts w:cs="Arial"/>
        </w:rPr>
        <w:t>border</w:t>
      </w:r>
      <w:r>
        <w:rPr>
          <w:rFonts w:cs="Arial"/>
        </w:rPr>
        <w:t xml:space="preserve"> due to the interpretation of </w:t>
      </w:r>
      <w:r>
        <w:t>subsection 1.5.3—4(3) of the Code by enforcement officials</w:t>
      </w:r>
      <w:r>
        <w:rPr>
          <w:rFonts w:cs="Arial"/>
        </w:rPr>
        <w:t>. In such cases</w:t>
      </w:r>
      <w:r w:rsidR="000D6881">
        <w:rPr>
          <w:rFonts w:cs="Arial"/>
        </w:rPr>
        <w:t>,</w:t>
      </w:r>
      <w:r>
        <w:rPr>
          <w:rFonts w:cs="Arial"/>
        </w:rPr>
        <w:t xml:space="preserve"> the </w:t>
      </w:r>
      <w:r>
        <w:t xml:space="preserve">reference in subsection 1.5.3—4(3) to a herb and spice </w:t>
      </w:r>
      <w:r w:rsidR="009E7A84">
        <w:t>‘</w:t>
      </w:r>
      <w:r>
        <w:t xml:space="preserve">described in Schedule 22’ has been interpreted to mean a herb or spice that is included in </w:t>
      </w:r>
      <w:r w:rsidRPr="00054A4A">
        <w:rPr>
          <w:i/>
        </w:rPr>
        <w:t>both</w:t>
      </w:r>
      <w:r>
        <w:t xml:space="preserve"> the general description and in the list of </w:t>
      </w:r>
      <w:r>
        <w:rPr>
          <w:lang w:bidi="ar-SA"/>
        </w:rPr>
        <w:t xml:space="preserve">food commodities. </w:t>
      </w:r>
      <w:r w:rsidR="00856FCE">
        <w:rPr>
          <w:lang w:bidi="ar-SA"/>
        </w:rPr>
        <w:t>On this interpretation</w:t>
      </w:r>
      <w:r>
        <w:rPr>
          <w:lang w:bidi="ar-SA"/>
        </w:rPr>
        <w:t xml:space="preserve">, for example, </w:t>
      </w:r>
      <w:r w:rsidR="00856FCE">
        <w:rPr>
          <w:lang w:bidi="ar-SA"/>
        </w:rPr>
        <w:t xml:space="preserve">if </w:t>
      </w:r>
      <w:r>
        <w:rPr>
          <w:lang w:bidi="ar-SA"/>
        </w:rPr>
        <w:t xml:space="preserve">a herb or a spice is not expressly mentioned in </w:t>
      </w:r>
      <w:r>
        <w:t xml:space="preserve">the list of </w:t>
      </w:r>
      <w:r>
        <w:rPr>
          <w:lang w:bidi="ar-SA"/>
        </w:rPr>
        <w:t xml:space="preserve">food commodities for herbs or spices in Schedule 22, it may be considered not to be a herb or spice described in Schedule 22 and therefore not permitted by section </w:t>
      </w:r>
      <w:r>
        <w:t xml:space="preserve">1.5.3—4 to be irradiated. </w:t>
      </w:r>
      <w:r>
        <w:rPr>
          <w:rFonts w:cs="Arial"/>
        </w:rPr>
        <w:t>D</w:t>
      </w:r>
      <w:r w:rsidRPr="00A7417C">
        <w:rPr>
          <w:rFonts w:cs="Arial"/>
        </w:rPr>
        <w:t>epending o</w:t>
      </w:r>
      <w:r>
        <w:rPr>
          <w:rFonts w:cs="Arial"/>
        </w:rPr>
        <w:t>n this variable interpretation</w:t>
      </w:r>
      <w:r w:rsidRPr="00A7417C">
        <w:rPr>
          <w:rFonts w:cs="Arial"/>
        </w:rPr>
        <w:t xml:space="preserve">, </w:t>
      </w:r>
      <w:r>
        <w:rPr>
          <w:rFonts w:cs="Arial"/>
        </w:rPr>
        <w:t>imported</w:t>
      </w:r>
      <w:r w:rsidRPr="00A7417C">
        <w:rPr>
          <w:rFonts w:cs="Arial"/>
        </w:rPr>
        <w:t xml:space="preserve"> foods may be </w:t>
      </w:r>
      <w:r>
        <w:rPr>
          <w:rFonts w:cs="Arial"/>
        </w:rPr>
        <w:t xml:space="preserve">unnecessarily </w:t>
      </w:r>
      <w:r w:rsidRPr="00A7417C">
        <w:rPr>
          <w:rFonts w:cs="Arial"/>
        </w:rPr>
        <w:t>detained and must either</w:t>
      </w:r>
      <w:r>
        <w:rPr>
          <w:rFonts w:cs="Arial"/>
        </w:rPr>
        <w:t xml:space="preserve"> be destroyed or re</w:t>
      </w:r>
      <w:r>
        <w:rPr>
          <w:rFonts w:cs="Arial"/>
        </w:rPr>
        <w:noBreakHyphen/>
        <w:t xml:space="preserve">exported at </w:t>
      </w:r>
      <w:r w:rsidRPr="00A7417C">
        <w:rPr>
          <w:rFonts w:cs="Arial"/>
        </w:rPr>
        <w:t>significant cost</w:t>
      </w:r>
      <w:r>
        <w:rPr>
          <w:rFonts w:cs="Arial"/>
        </w:rPr>
        <w:t>.</w:t>
      </w:r>
    </w:p>
    <w:p w14:paraId="3128EE30" w14:textId="77777777" w:rsidR="000B6429" w:rsidRDefault="000B6429" w:rsidP="000B6429">
      <w:pPr>
        <w:rPr>
          <w:rFonts w:cs="Arial"/>
        </w:rPr>
      </w:pPr>
    </w:p>
    <w:p w14:paraId="0A466FD2" w14:textId="74B89B9A" w:rsidR="000B6429" w:rsidRPr="00146082" w:rsidRDefault="000B6429" w:rsidP="000B6429">
      <w:pPr>
        <w:widowControl/>
        <w:autoSpaceDE w:val="0"/>
        <w:autoSpaceDN w:val="0"/>
        <w:adjustRightInd w:val="0"/>
        <w:rPr>
          <w:rFonts w:ascii="CIDFont+F1" w:hAnsi="CIDFont+F1" w:cs="CIDFont+F1"/>
          <w:szCs w:val="22"/>
          <w:lang w:eastAsia="en-GB" w:bidi="he-IL"/>
        </w:rPr>
      </w:pPr>
      <w:r>
        <w:rPr>
          <w:rFonts w:cs="Arial"/>
        </w:rPr>
        <w:t xml:space="preserve">In addition, </w:t>
      </w:r>
      <w:r w:rsidR="00856FCE">
        <w:rPr>
          <w:rFonts w:cs="Arial"/>
        </w:rPr>
        <w:t xml:space="preserve">the applicant in </w:t>
      </w:r>
      <w:r>
        <w:rPr>
          <w:rFonts w:cs="Arial"/>
        </w:rPr>
        <w:t xml:space="preserve">A1163 </w:t>
      </w:r>
      <w:r w:rsidR="00A210AC">
        <w:rPr>
          <w:rFonts w:cs="Arial"/>
        </w:rPr>
        <w:t xml:space="preserve">proposed </w:t>
      </w:r>
      <w:r w:rsidRPr="00146082">
        <w:rPr>
          <w:rFonts w:cs="Arial"/>
        </w:rPr>
        <w:t xml:space="preserve">four different interpretations </w:t>
      </w:r>
      <w:r>
        <w:rPr>
          <w:rFonts w:cs="Arial"/>
        </w:rPr>
        <w:t>of s</w:t>
      </w:r>
      <w:r w:rsidR="000417B6">
        <w:rPr>
          <w:rFonts w:cs="Arial"/>
        </w:rPr>
        <w:t>ubs</w:t>
      </w:r>
      <w:r>
        <w:rPr>
          <w:rFonts w:cs="Arial"/>
        </w:rPr>
        <w:t xml:space="preserve">ection </w:t>
      </w:r>
      <w:r w:rsidRPr="00146082">
        <w:rPr>
          <w:rFonts w:cs="Arial"/>
        </w:rPr>
        <w:t>1.5.3—4</w:t>
      </w:r>
      <w:r w:rsidR="000417B6">
        <w:rPr>
          <w:rFonts w:cs="Arial"/>
        </w:rPr>
        <w:t>(3)</w:t>
      </w:r>
      <w:r w:rsidRPr="00146082">
        <w:rPr>
          <w:rFonts w:cs="Arial"/>
        </w:rPr>
        <w:t xml:space="preserve">, each having different implications for food manufacturers and importers. These interpretations and implications are summarised in Table 1 </w:t>
      </w:r>
      <w:r>
        <w:rPr>
          <w:rFonts w:cs="Arial"/>
        </w:rPr>
        <w:t>on</w:t>
      </w:r>
      <w:r w:rsidRPr="00146082">
        <w:rPr>
          <w:rFonts w:cs="Arial"/>
        </w:rPr>
        <w:t xml:space="preserve"> page 3 of the </w:t>
      </w:r>
      <w:r>
        <w:rPr>
          <w:rFonts w:cs="Arial"/>
        </w:rPr>
        <w:t>a</w:t>
      </w:r>
      <w:r w:rsidRPr="00146082">
        <w:rPr>
          <w:rFonts w:cs="Arial"/>
        </w:rPr>
        <w:t>pplication.</w:t>
      </w:r>
      <w:r w:rsidDel="00C57AF8">
        <w:rPr>
          <w:rFonts w:cs="Arial"/>
        </w:rPr>
        <w:t xml:space="preserve"> </w:t>
      </w:r>
      <w:r w:rsidRPr="00146082">
        <w:rPr>
          <w:rFonts w:cs="Arial"/>
        </w:rPr>
        <w:t>T</w:t>
      </w:r>
      <w:r>
        <w:rPr>
          <w:rFonts w:cs="Arial"/>
        </w:rPr>
        <w:t>he four interpretations range from the most restrictive (the herb or spice must meet both the definition and be named expressly in the commodity list) to the least restrictive interpretation (the herb or spice can meet either the description or be named in the commodity list).</w:t>
      </w:r>
    </w:p>
    <w:p w14:paraId="4B3C9099" w14:textId="77777777" w:rsidR="000B6429" w:rsidRDefault="000B6429" w:rsidP="000B6429">
      <w:pPr>
        <w:rPr>
          <w:rFonts w:cs="Arial"/>
        </w:rPr>
      </w:pPr>
    </w:p>
    <w:p w14:paraId="6D841818" w14:textId="025F2F72" w:rsidR="000B6429" w:rsidRDefault="000B6429" w:rsidP="000B6429">
      <w:pPr>
        <w:rPr>
          <w:rFonts w:cs="Arial"/>
        </w:rPr>
      </w:pPr>
      <w:r>
        <w:rPr>
          <w:rFonts w:cs="Arial"/>
        </w:rPr>
        <w:t xml:space="preserve">The least restrictive option </w:t>
      </w:r>
      <w:r w:rsidR="00E3174C">
        <w:rPr>
          <w:rFonts w:cs="Arial"/>
        </w:rPr>
        <w:t xml:space="preserve">is the closest option to </w:t>
      </w:r>
      <w:r>
        <w:rPr>
          <w:rFonts w:cs="Arial"/>
        </w:rPr>
        <w:t xml:space="preserve">the outcome intended in 2001 following the assessment of A413. The intent was that a herb or spice that does not meet the commodity description, but in other respects is considered a herb or a spice (it may be listed in the commodities list, but not necessarily) can be irradiated. That is, the permission was intended to apply to products that met </w:t>
      </w:r>
      <w:r>
        <w:rPr>
          <w:lang w:eastAsia="en-AU" w:bidi="ar-SA"/>
        </w:rPr>
        <w:t xml:space="preserve">the commonly understood meaning of what is a herb or a spice. </w:t>
      </w:r>
      <w:r>
        <w:rPr>
          <w:rFonts w:cs="Arial"/>
        </w:rPr>
        <w:t>Examples are bay leaves and kaffir lime leaves (these are listed, but may be considered as herbs from woody plants not herbaceous plants), and cinnamon bark (bark is not listed in the description of spices). Furthermore, there may be other herbs and spices that are similar to those that are listed, but are not explicitly captured in the relevant description in Schedule 22.</w:t>
      </w:r>
    </w:p>
    <w:p w14:paraId="7F9D3ABD" w14:textId="490F21BC" w:rsidR="000B6429" w:rsidRPr="005301B7" w:rsidRDefault="000B6429" w:rsidP="000B6429">
      <w:pPr>
        <w:pStyle w:val="Heading3"/>
      </w:pPr>
      <w:bookmarkStart w:id="83" w:name="_Toc9242306"/>
      <w:bookmarkStart w:id="84" w:name="_Toc19270496"/>
      <w:r w:rsidRPr="005301B7">
        <w:lastRenderedPageBreak/>
        <w:t>2.</w:t>
      </w:r>
      <w:r>
        <w:t>3</w:t>
      </w:r>
      <w:r w:rsidRPr="005301B7">
        <w:t>.</w:t>
      </w:r>
      <w:r>
        <w:t>2</w:t>
      </w:r>
      <w:r w:rsidRPr="005301B7">
        <w:tab/>
      </w:r>
      <w:r w:rsidR="000826AD">
        <w:t>R</w:t>
      </w:r>
      <w:r>
        <w:t>egulatory solution</w:t>
      </w:r>
      <w:bookmarkEnd w:id="83"/>
      <w:bookmarkEnd w:id="84"/>
      <w:r w:rsidRPr="005301B7">
        <w:t xml:space="preserve"> </w:t>
      </w:r>
    </w:p>
    <w:p w14:paraId="4DE365C3" w14:textId="77777777" w:rsidR="000B6429" w:rsidRPr="00112CE2" w:rsidRDefault="000B6429" w:rsidP="000B6429">
      <w:r>
        <w:t>The options available to FSANZ, after assessment, were to reject the application or to prepare a draft variation to amend the Code.</w:t>
      </w:r>
    </w:p>
    <w:p w14:paraId="27C3C27B" w14:textId="77777777" w:rsidR="000B6429" w:rsidRPr="00112CE2" w:rsidRDefault="000B6429" w:rsidP="000B6429"/>
    <w:p w14:paraId="1C08BDF4" w14:textId="703E2E43" w:rsidR="000B6429" w:rsidRDefault="000B6429" w:rsidP="000B6429">
      <w:pPr>
        <w:rPr>
          <w:lang w:eastAsia="en-AU" w:bidi="ar-SA"/>
        </w:rPr>
      </w:pPr>
      <w:r>
        <w:rPr>
          <w:lang w:eastAsia="en-AU" w:bidi="ar-SA"/>
        </w:rPr>
        <w:t xml:space="preserve">The applicant suggested that the current definition of herbs and spices in Standard 1.5.3 </w:t>
      </w:r>
      <w:r w:rsidR="0099462C">
        <w:rPr>
          <w:lang w:eastAsia="en-AU" w:bidi="ar-SA"/>
        </w:rPr>
        <w:t xml:space="preserve">be </w:t>
      </w:r>
      <w:r>
        <w:rPr>
          <w:lang w:eastAsia="en-AU" w:bidi="ar-SA"/>
        </w:rPr>
        <w:t>replaced either by the ordinary and commonly understood meaning of ‘herbs and spices’ or by inclusion of generic definitions of herbs and spices.</w:t>
      </w:r>
    </w:p>
    <w:p w14:paraId="166C083E" w14:textId="77777777" w:rsidR="000B6429" w:rsidRDefault="000B6429" w:rsidP="000B6429">
      <w:pPr>
        <w:rPr>
          <w:lang w:eastAsia="en-AU" w:bidi="ar-SA"/>
        </w:rPr>
      </w:pPr>
    </w:p>
    <w:p w14:paraId="4984FAC1" w14:textId="16C33C73" w:rsidR="000B6429" w:rsidRDefault="000B6429" w:rsidP="000B6429">
      <w:r>
        <w:rPr>
          <w:lang w:eastAsia="en-AU" w:bidi="ar-SA"/>
        </w:rPr>
        <w:t>FSANZ</w:t>
      </w:r>
      <w:r w:rsidR="000826AD">
        <w:rPr>
          <w:lang w:eastAsia="en-AU" w:bidi="ar-SA"/>
        </w:rPr>
        <w:t>’s</w:t>
      </w:r>
      <w:r>
        <w:rPr>
          <w:lang w:eastAsia="en-AU" w:bidi="ar-SA"/>
        </w:rPr>
        <w:t xml:space="preserve"> </w:t>
      </w:r>
      <w:r w:rsidR="000826AD">
        <w:rPr>
          <w:lang w:eastAsia="en-AU" w:bidi="ar-SA"/>
        </w:rPr>
        <w:t xml:space="preserve">assessment was that </w:t>
      </w:r>
      <w:r>
        <w:rPr>
          <w:lang w:eastAsia="en-AU" w:bidi="ar-SA"/>
        </w:rPr>
        <w:t>the definition of herbs and spices in Standard 1.5.3 be amended to provide greater certainty</w:t>
      </w:r>
      <w:r w:rsidRPr="002B384B">
        <w:rPr>
          <w:lang w:eastAsia="en-AU" w:bidi="ar-SA"/>
        </w:rPr>
        <w:t xml:space="preserve">. </w:t>
      </w:r>
      <w:r w:rsidRPr="003F1388">
        <w:rPr>
          <w:lang w:eastAsia="en-AU" w:bidi="ar-SA"/>
        </w:rPr>
        <w:t xml:space="preserve">FSANZ’s assessment </w:t>
      </w:r>
      <w:r w:rsidR="00F66A74">
        <w:rPr>
          <w:lang w:eastAsia="en-AU" w:bidi="ar-SA"/>
        </w:rPr>
        <w:t>was</w:t>
      </w:r>
      <w:r w:rsidRPr="003F1388">
        <w:rPr>
          <w:lang w:eastAsia="en-AU" w:bidi="ar-SA"/>
        </w:rPr>
        <w:t xml:space="preserve"> that a</w:t>
      </w:r>
      <w:r w:rsidRPr="003F1388">
        <w:t>mendment</w:t>
      </w:r>
      <w:r w:rsidRPr="002B384B">
        <w:t xml:space="preserve"> of</w:t>
      </w:r>
      <w:r>
        <w:t xml:space="preserve"> the Code is the</w:t>
      </w:r>
      <w:r w:rsidRPr="00112CE2">
        <w:t xml:space="preserve"> only option </w:t>
      </w:r>
      <w:r>
        <w:t>available that can provide the required certainty, and that t</w:t>
      </w:r>
      <w:r w:rsidRPr="00112CE2">
        <w:t>here are no non-regulatory options that can appropriately address the regulatory problem</w:t>
      </w:r>
      <w:r>
        <w:t xml:space="preserve">. </w:t>
      </w:r>
      <w:r>
        <w:rPr>
          <w:lang w:eastAsia="en-AU" w:bidi="ar-SA"/>
        </w:rPr>
        <w:t>In making its assessment, FSANZ had regard to the criteria prescribed in the FSANZ Act (see section 2.</w:t>
      </w:r>
      <w:r w:rsidR="00A70381">
        <w:rPr>
          <w:lang w:eastAsia="en-AU" w:bidi="ar-SA"/>
        </w:rPr>
        <w:t>5</w:t>
      </w:r>
      <w:r>
        <w:rPr>
          <w:lang w:eastAsia="en-AU" w:bidi="ar-SA"/>
        </w:rPr>
        <w:t xml:space="preserve">). </w:t>
      </w:r>
    </w:p>
    <w:p w14:paraId="0D949BDA" w14:textId="77777777" w:rsidR="000B6429" w:rsidRDefault="000B6429" w:rsidP="000B6429">
      <w:pPr>
        <w:rPr>
          <w:lang w:eastAsia="en-AU" w:bidi="ar-SA"/>
        </w:rPr>
      </w:pPr>
    </w:p>
    <w:p w14:paraId="192BB697" w14:textId="2F9C618B" w:rsidR="000B6429" w:rsidRDefault="000B6429" w:rsidP="000B6429">
      <w:pPr>
        <w:rPr>
          <w:lang w:eastAsia="en-AU" w:bidi="ar-SA"/>
        </w:rPr>
      </w:pPr>
      <w:r>
        <w:rPr>
          <w:lang w:eastAsia="en-AU" w:bidi="ar-SA"/>
        </w:rPr>
        <w:t>FSANZ</w:t>
      </w:r>
      <w:r w:rsidR="000826AD">
        <w:rPr>
          <w:lang w:eastAsia="en-AU" w:bidi="ar-SA"/>
        </w:rPr>
        <w:t>’s</w:t>
      </w:r>
      <w:r>
        <w:rPr>
          <w:lang w:eastAsia="en-AU" w:bidi="ar-SA"/>
        </w:rPr>
        <w:t xml:space="preserve"> draft variation is described below in section 2.</w:t>
      </w:r>
      <w:r w:rsidR="00A70381">
        <w:rPr>
          <w:lang w:eastAsia="en-AU" w:bidi="ar-SA"/>
        </w:rPr>
        <w:t>3</w:t>
      </w:r>
      <w:r>
        <w:rPr>
          <w:lang w:eastAsia="en-AU" w:bidi="ar-SA"/>
        </w:rPr>
        <w:t>.2.1</w:t>
      </w:r>
      <w:r w:rsidR="005C2A87">
        <w:rPr>
          <w:lang w:eastAsia="en-AU" w:bidi="ar-SA"/>
        </w:rPr>
        <w:t>.</w:t>
      </w:r>
    </w:p>
    <w:p w14:paraId="3D0881C4" w14:textId="16AAE8F2" w:rsidR="000B6429" w:rsidRDefault="000B6429" w:rsidP="000B6429">
      <w:pPr>
        <w:pStyle w:val="Heading4"/>
      </w:pPr>
      <w:r>
        <w:t>2.3.2.1</w:t>
      </w:r>
      <w:r>
        <w:tab/>
        <w:t>Standard 1.5.3 amendment</w:t>
      </w:r>
    </w:p>
    <w:p w14:paraId="0A671DEA" w14:textId="52C98500" w:rsidR="000B6429" w:rsidRDefault="000B6429" w:rsidP="000B6429">
      <w:pPr>
        <w:rPr>
          <w:lang w:eastAsia="en-AU" w:bidi="ar-SA"/>
        </w:rPr>
      </w:pPr>
      <w:r>
        <w:rPr>
          <w:lang w:eastAsia="en-AU" w:bidi="ar-SA"/>
        </w:rPr>
        <w:t xml:space="preserve">Section 1.5.3—4 of the Code contains the current definition of </w:t>
      </w:r>
      <w:r w:rsidR="0089026B">
        <w:rPr>
          <w:lang w:eastAsia="en-AU" w:bidi="ar-SA"/>
        </w:rPr>
        <w:t>‘</w:t>
      </w:r>
      <w:r>
        <w:rPr>
          <w:lang w:eastAsia="en-AU" w:bidi="ar-SA"/>
        </w:rPr>
        <w:t>herbs and spices</w:t>
      </w:r>
      <w:r w:rsidR="0089026B">
        <w:rPr>
          <w:lang w:eastAsia="en-AU" w:bidi="ar-SA"/>
        </w:rPr>
        <w:t>’</w:t>
      </w:r>
      <w:r>
        <w:rPr>
          <w:lang w:eastAsia="en-AU" w:bidi="ar-SA"/>
        </w:rPr>
        <w:t xml:space="preserve"> for food irradiation, as explained in section 1.3.</w:t>
      </w:r>
    </w:p>
    <w:p w14:paraId="30F34817" w14:textId="77777777" w:rsidR="000B6429" w:rsidRDefault="000B6429" w:rsidP="000B6429">
      <w:pPr>
        <w:rPr>
          <w:lang w:eastAsia="en-AU" w:bidi="ar-SA"/>
        </w:rPr>
      </w:pPr>
    </w:p>
    <w:p w14:paraId="00216909" w14:textId="297EFE23" w:rsidR="000B6429" w:rsidRPr="007A4753" w:rsidRDefault="000B6429" w:rsidP="000B6429">
      <w:pPr>
        <w:rPr>
          <w:lang w:eastAsia="en-AU" w:bidi="ar-SA"/>
        </w:rPr>
      </w:pPr>
      <w:r>
        <w:rPr>
          <w:lang w:eastAsia="en-AU" w:bidi="ar-SA"/>
        </w:rPr>
        <w:t>The draft variation amend</w:t>
      </w:r>
      <w:r w:rsidR="00F66A74">
        <w:rPr>
          <w:lang w:eastAsia="en-AU" w:bidi="ar-SA"/>
        </w:rPr>
        <w:t>s</w:t>
      </w:r>
      <w:r>
        <w:rPr>
          <w:lang w:eastAsia="en-AU" w:bidi="ar-SA"/>
        </w:rPr>
        <w:t xml:space="preserve"> subsection 1.5.3—4(3) to provide that, for the purposes of section 1.5.3—4, </w:t>
      </w:r>
      <w:r w:rsidR="0089026B">
        <w:rPr>
          <w:lang w:eastAsia="en-AU" w:bidi="ar-SA"/>
        </w:rPr>
        <w:t>‘</w:t>
      </w:r>
      <w:r>
        <w:rPr>
          <w:lang w:eastAsia="en-AU" w:bidi="ar-SA"/>
        </w:rPr>
        <w:t>herbs and spices</w:t>
      </w:r>
      <w:r w:rsidR="0089026B">
        <w:rPr>
          <w:lang w:eastAsia="en-AU" w:bidi="ar-SA"/>
        </w:rPr>
        <w:t>’</w:t>
      </w:r>
      <w:r>
        <w:rPr>
          <w:lang w:eastAsia="en-AU" w:bidi="ar-SA"/>
        </w:rPr>
        <w:t xml:space="preserve"> </w:t>
      </w:r>
      <w:r>
        <w:t xml:space="preserve">includes (but is not limited to) a herb or a spice </w:t>
      </w:r>
      <w:r w:rsidRPr="001D1563">
        <w:t>described in Schedule</w:t>
      </w:r>
      <w:r>
        <w:t xml:space="preserve"> </w:t>
      </w:r>
      <w:r w:rsidRPr="001D1563">
        <w:t>22</w:t>
      </w:r>
      <w:r>
        <w:t xml:space="preserve">. This </w:t>
      </w:r>
      <w:r w:rsidR="00A210AC">
        <w:t>is</w:t>
      </w:r>
      <w:r>
        <w:t xml:space="preserve"> an inclusive definition. That is, the terms ‘</w:t>
      </w:r>
      <w:r>
        <w:rPr>
          <w:lang w:eastAsia="en-AU" w:bidi="ar-SA"/>
        </w:rPr>
        <w:t xml:space="preserve">herb’ and ‘spice’ </w:t>
      </w:r>
      <w:r>
        <w:t xml:space="preserve">are to be </w:t>
      </w:r>
      <w:r w:rsidRPr="007A4753">
        <w:t xml:space="preserve">given their ordinary and commonly understood meaning. </w:t>
      </w:r>
      <w:r>
        <w:t xml:space="preserve">Plant material which falls within that meaning may be irradiated in accordance with </w:t>
      </w:r>
      <w:r>
        <w:rPr>
          <w:lang w:eastAsia="en-AU" w:bidi="ar-SA"/>
        </w:rPr>
        <w:t>section 1.5.3—4</w:t>
      </w:r>
      <w:r>
        <w:t xml:space="preserve">. </w:t>
      </w:r>
      <w:r w:rsidRPr="007A4753">
        <w:t>For the purposes of the irradiation permission, a herb may</w:t>
      </w:r>
      <w:r w:rsidRPr="00617A6A">
        <w:rPr>
          <w:lang w:eastAsia="en-AU" w:bidi="ar-SA"/>
        </w:rPr>
        <w:t xml:space="preserve"> </w:t>
      </w:r>
      <w:r>
        <w:rPr>
          <w:lang w:eastAsia="en-AU" w:bidi="ar-SA"/>
        </w:rPr>
        <w:t xml:space="preserve">also </w:t>
      </w:r>
      <w:r w:rsidRPr="00617A6A">
        <w:rPr>
          <w:lang w:eastAsia="en-AU" w:bidi="ar-SA"/>
        </w:rPr>
        <w:t>fall within either the general description in Schedule 22 of what is a herb or be listed as a commodity in the commodity list provided for herbs in that Schedule (and similarly for a spice).</w:t>
      </w:r>
      <w:r w:rsidRPr="007A4753">
        <w:rPr>
          <w:lang w:eastAsia="en-AU" w:bidi="ar-SA"/>
        </w:rPr>
        <w:t xml:space="preserve"> </w:t>
      </w:r>
    </w:p>
    <w:p w14:paraId="1CC7271C" w14:textId="77777777" w:rsidR="000B6429" w:rsidRDefault="000B6429" w:rsidP="000B6429">
      <w:pPr>
        <w:rPr>
          <w:lang w:eastAsia="en-AU" w:bidi="ar-SA"/>
        </w:rPr>
      </w:pPr>
    </w:p>
    <w:p w14:paraId="1F34106D" w14:textId="4FE7D1EB" w:rsidR="000B6429" w:rsidRDefault="000B6429" w:rsidP="000B6429">
      <w:pPr>
        <w:rPr>
          <w:lang w:eastAsia="en-AU" w:bidi="ar-SA"/>
        </w:rPr>
      </w:pPr>
      <w:r>
        <w:rPr>
          <w:lang w:eastAsia="en-AU" w:bidi="ar-SA"/>
        </w:rPr>
        <w:t>In effect, section 1.5.3—4</w:t>
      </w:r>
      <w:r w:rsidRPr="003D4000">
        <w:rPr>
          <w:lang w:eastAsia="en-AU" w:bidi="ar-SA"/>
        </w:rPr>
        <w:t xml:space="preserve"> </w:t>
      </w:r>
      <w:r>
        <w:rPr>
          <w:lang w:eastAsia="en-AU" w:bidi="ar-SA"/>
        </w:rPr>
        <w:t>remain</w:t>
      </w:r>
      <w:r w:rsidR="00A70381">
        <w:rPr>
          <w:lang w:eastAsia="en-AU" w:bidi="ar-SA"/>
        </w:rPr>
        <w:t>s</w:t>
      </w:r>
      <w:r>
        <w:rPr>
          <w:lang w:eastAsia="en-AU" w:bidi="ar-SA"/>
        </w:rPr>
        <w:t xml:space="preserve"> </w:t>
      </w:r>
      <w:r w:rsidRPr="003D4000">
        <w:rPr>
          <w:lang w:eastAsia="en-AU" w:bidi="ar-SA"/>
        </w:rPr>
        <w:t xml:space="preserve">unchanged but </w:t>
      </w:r>
      <w:r w:rsidR="00F66A74">
        <w:rPr>
          <w:lang w:eastAsia="en-AU" w:bidi="ar-SA"/>
        </w:rPr>
        <w:t>has been</w:t>
      </w:r>
      <w:r w:rsidRPr="003D4000">
        <w:rPr>
          <w:lang w:eastAsia="en-AU" w:bidi="ar-SA"/>
        </w:rPr>
        <w:t xml:space="preserve"> re-written </w:t>
      </w:r>
      <w:r>
        <w:rPr>
          <w:lang w:eastAsia="en-AU" w:bidi="ar-SA"/>
        </w:rPr>
        <w:t>to make clear that the commodity lists in Schedule 22 are not exhaustive.</w:t>
      </w:r>
    </w:p>
    <w:p w14:paraId="2B66F0C1" w14:textId="77777777" w:rsidR="000B6429" w:rsidRDefault="000B6429" w:rsidP="000B6429">
      <w:pPr>
        <w:rPr>
          <w:lang w:eastAsia="en-AU" w:bidi="ar-SA"/>
        </w:rPr>
      </w:pPr>
    </w:p>
    <w:p w14:paraId="4AEFB93E" w14:textId="3E9CCBF2" w:rsidR="000B6429" w:rsidRDefault="000B6429" w:rsidP="000B6429">
      <w:pPr>
        <w:rPr>
          <w:lang w:eastAsia="en-AU" w:bidi="ar-SA"/>
        </w:rPr>
      </w:pPr>
      <w:r>
        <w:rPr>
          <w:lang w:eastAsia="en-AU" w:bidi="ar-SA"/>
        </w:rPr>
        <w:t xml:space="preserve">In its assessment, FSANZ had regard to the various definitions for herbs and spices contained in Codex texts, and, as noted in section 1.4.1, </w:t>
      </w:r>
      <w:r>
        <w:rPr>
          <w:rFonts w:cs="Arial"/>
        </w:rPr>
        <w:t xml:space="preserve">the descriptions and commodity lists in Schedule 22 were based on the CCPR guidelines in place at the time the Schedule was originally developed. Also noted in section 1.4.1, there is no single Codex definition for herbs and spices that is consistent across all Codex texts. </w:t>
      </w:r>
    </w:p>
    <w:p w14:paraId="15A19B11" w14:textId="77777777" w:rsidR="00637369" w:rsidRDefault="00637369" w:rsidP="000B6429">
      <w:pPr>
        <w:rPr>
          <w:lang w:eastAsia="en-AU" w:bidi="ar-SA"/>
        </w:rPr>
      </w:pPr>
    </w:p>
    <w:p w14:paraId="4B6C2F0B" w14:textId="609F5B5F" w:rsidR="000B6429" w:rsidRDefault="000B6429" w:rsidP="000B6429">
      <w:r>
        <w:rPr>
          <w:lang w:val="en-AU"/>
        </w:rPr>
        <w:t>Our drafting</w:t>
      </w:r>
      <w:r w:rsidRPr="002B51DA">
        <w:rPr>
          <w:lang w:val="en-AU"/>
        </w:rPr>
        <w:t xml:space="preserve"> approach is consistent with </w:t>
      </w:r>
      <w:r>
        <w:rPr>
          <w:lang w:val="en-AU"/>
        </w:rPr>
        <w:t>the intent</w:t>
      </w:r>
      <w:r w:rsidRPr="002B51DA">
        <w:rPr>
          <w:lang w:val="en-AU"/>
        </w:rPr>
        <w:t xml:space="preserve"> of </w:t>
      </w:r>
      <w:r>
        <w:rPr>
          <w:lang w:val="en-AU"/>
        </w:rPr>
        <w:t>the permission granted and provided for in the Code as a result of</w:t>
      </w:r>
      <w:r w:rsidRPr="002B51DA">
        <w:rPr>
          <w:lang w:val="en-AU"/>
        </w:rPr>
        <w:t xml:space="preserve"> the original variation in 2001, </w:t>
      </w:r>
      <w:r>
        <w:rPr>
          <w:lang w:val="en-AU"/>
        </w:rPr>
        <w:t xml:space="preserve">that is, </w:t>
      </w:r>
      <w:r w:rsidRPr="005301B7">
        <w:t>approval to irradiate any herb and spice in accordance with a recognised technological need.</w:t>
      </w:r>
    </w:p>
    <w:p w14:paraId="0DC6E40D" w14:textId="14AA734E" w:rsidR="000B6429" w:rsidRDefault="000B6429" w:rsidP="000B6429">
      <w:pPr>
        <w:pStyle w:val="Heading3"/>
      </w:pPr>
      <w:bookmarkStart w:id="85" w:name="_Toc9242307"/>
      <w:bookmarkStart w:id="86" w:name="_Toc19270497"/>
      <w:r>
        <w:t>2.3.3</w:t>
      </w:r>
      <w:r>
        <w:tab/>
      </w:r>
      <w:r w:rsidRPr="0088319A">
        <w:t>Labelling of irradiated food</w:t>
      </w:r>
      <w:bookmarkEnd w:id="85"/>
      <w:bookmarkEnd w:id="86"/>
      <w:r w:rsidRPr="0088319A">
        <w:t xml:space="preserve"> </w:t>
      </w:r>
    </w:p>
    <w:p w14:paraId="22278105" w14:textId="726C2C3D" w:rsidR="000B6429" w:rsidRDefault="000B6429" w:rsidP="000B6429">
      <w:pPr>
        <w:widowControl/>
      </w:pPr>
      <w:r>
        <w:t xml:space="preserve">The applicant </w:t>
      </w:r>
      <w:r w:rsidR="00F66A74">
        <w:t xml:space="preserve">did </w:t>
      </w:r>
      <w:r>
        <w:t xml:space="preserve">not request a variation to the labelling requirements for irradiated herbs and spices. Existing labelling requirements for irradiated herbs and spices will continue to apply. </w:t>
      </w:r>
    </w:p>
    <w:p w14:paraId="608D5C6E" w14:textId="77777777" w:rsidR="000B6429" w:rsidRDefault="000B6429" w:rsidP="000B6429">
      <w:pPr>
        <w:widowControl/>
      </w:pPr>
    </w:p>
    <w:p w14:paraId="0C4BFBDD" w14:textId="597A5356" w:rsidR="00616599" w:rsidRDefault="000B6429" w:rsidP="000B6429">
      <w:pPr>
        <w:widowControl/>
      </w:pPr>
      <w:r>
        <w:t xml:space="preserve">Section 1.5.3—9 of the Code </w:t>
      </w:r>
      <w:r w:rsidRPr="00294025">
        <w:t xml:space="preserve">requires </w:t>
      </w:r>
      <w:r w:rsidR="00616599">
        <w:t xml:space="preserve">where a </w:t>
      </w:r>
      <w:r w:rsidRPr="00294025">
        <w:t>food ha</w:t>
      </w:r>
      <w:r w:rsidR="00616599">
        <w:t>s</w:t>
      </w:r>
      <w:r w:rsidRPr="00294025">
        <w:t xml:space="preserve"> been irradiated</w:t>
      </w:r>
      <w:r>
        <w:t>,</w:t>
      </w:r>
      <w:r w:rsidRPr="00294025">
        <w:t xml:space="preserve"> or </w:t>
      </w:r>
      <w:r>
        <w:t>contain</w:t>
      </w:r>
      <w:r w:rsidR="00616599">
        <w:t>s</w:t>
      </w:r>
      <w:r>
        <w:t xml:space="preserve"> an ingredient or component that has been irradiated, </w:t>
      </w:r>
      <w:r w:rsidR="00616599">
        <w:t xml:space="preserve">there must be </w:t>
      </w:r>
      <w:r w:rsidRPr="00294025">
        <w:t>a statement to the effect that the food</w:t>
      </w:r>
      <w:r>
        <w:t xml:space="preserve">, </w:t>
      </w:r>
      <w:r w:rsidRPr="00294025">
        <w:t>ingredient</w:t>
      </w:r>
      <w:r>
        <w:t xml:space="preserve"> or </w:t>
      </w:r>
      <w:r w:rsidRPr="00294025">
        <w:t>component has been treated with ionising radiation</w:t>
      </w:r>
      <w:r w:rsidR="00FA63BF">
        <w:t>. This statement must be</w:t>
      </w:r>
      <w:r w:rsidR="00616599">
        <w:t xml:space="preserve"> </w:t>
      </w:r>
      <w:r w:rsidR="004F0152">
        <w:t>made available</w:t>
      </w:r>
      <w:r w:rsidR="00616599">
        <w:t xml:space="preserve"> </w:t>
      </w:r>
      <w:r w:rsidR="00F57BB9">
        <w:t>in accordance with Standard 1.2.1, for example</w:t>
      </w:r>
      <w:r w:rsidR="00616599">
        <w:t>:</w:t>
      </w:r>
    </w:p>
    <w:p w14:paraId="65E0A3C2" w14:textId="7EDD500D" w:rsidR="00616599" w:rsidRDefault="00616599" w:rsidP="00616599">
      <w:pPr>
        <w:pStyle w:val="ListParagraph"/>
        <w:widowControl/>
        <w:numPr>
          <w:ilvl w:val="0"/>
          <w:numId w:val="11"/>
        </w:numPr>
      </w:pPr>
      <w:r>
        <w:lastRenderedPageBreak/>
        <w:t>where the food must bear a label—</w:t>
      </w:r>
      <w:r w:rsidR="006E544A">
        <w:t>i</w:t>
      </w:r>
      <w:r>
        <w:t>n the label of the food (subsections 1.2.1—6(1)</w:t>
      </w:r>
      <w:r w:rsidR="002D1CCE">
        <w:t xml:space="preserve"> and </w:t>
      </w:r>
      <w:r>
        <w:t>1.2.1—8(1)</w:t>
      </w:r>
      <w:r w:rsidR="00F57BB9">
        <w:t>;</w:t>
      </w:r>
      <w:r w:rsidR="002D1CCE">
        <w:t xml:space="preserve"> </w:t>
      </w:r>
      <w:r w:rsidR="004F0152">
        <w:t xml:space="preserve">and </w:t>
      </w:r>
      <w:r w:rsidR="002D1CCE">
        <w:t>section 1.2.1—</w:t>
      </w:r>
      <w:r w:rsidR="00F57BB9">
        <w:t>15)</w:t>
      </w:r>
      <w:r>
        <w:t>; or</w:t>
      </w:r>
    </w:p>
    <w:p w14:paraId="16EBFED5" w14:textId="7B5EEA17" w:rsidR="00616599" w:rsidRDefault="00616599" w:rsidP="006E544A">
      <w:pPr>
        <w:pStyle w:val="ListParagraph"/>
        <w:widowControl/>
        <w:numPr>
          <w:ilvl w:val="0"/>
          <w:numId w:val="11"/>
        </w:numPr>
      </w:pPr>
      <w:r>
        <w:t>where the food does not have to bear a label—</w:t>
      </w:r>
      <w:r w:rsidR="006E544A">
        <w:t xml:space="preserve">stated in labelling </w:t>
      </w:r>
      <w:r>
        <w:t>accompanying or being displayed with the food</w:t>
      </w:r>
      <w:r w:rsidR="00F57BB9">
        <w:t xml:space="preserve"> (see sections 1.2.1—9</w:t>
      </w:r>
      <w:r w:rsidR="006E544A">
        <w:t>) or provided in documentation (</w:t>
      </w:r>
      <w:r w:rsidR="00F57BB9">
        <w:t>1.2.1—16);</w:t>
      </w:r>
      <w:r>
        <w:t xml:space="preserve"> or</w:t>
      </w:r>
    </w:p>
    <w:p w14:paraId="4C9AE13C" w14:textId="3E6F5E7E" w:rsidR="004F0152" w:rsidRDefault="004F0152" w:rsidP="00616599">
      <w:pPr>
        <w:pStyle w:val="ListParagraph"/>
        <w:widowControl/>
        <w:numPr>
          <w:ilvl w:val="0"/>
          <w:numId w:val="11"/>
        </w:numPr>
      </w:pPr>
      <w:r>
        <w:t xml:space="preserve">where the food is not for retail sale </w:t>
      </w:r>
      <w:r w:rsidR="007E75F2">
        <w:t>n</w:t>
      </w:r>
      <w:r>
        <w:t xml:space="preserve">or for sale to a caterer—provided to the purchaser either on request by the purchaser or as required by the relevant </w:t>
      </w:r>
      <w:r w:rsidR="007E75F2">
        <w:t xml:space="preserve">enforcement </w:t>
      </w:r>
      <w:r>
        <w:t xml:space="preserve">authority (section 1.2.1—21); or </w:t>
      </w:r>
    </w:p>
    <w:p w14:paraId="2E48728C" w14:textId="01363734" w:rsidR="00616599" w:rsidRDefault="00616599" w:rsidP="00616599">
      <w:pPr>
        <w:pStyle w:val="ListParagraph"/>
        <w:widowControl/>
        <w:numPr>
          <w:ilvl w:val="0"/>
          <w:numId w:val="11"/>
        </w:numPr>
      </w:pPr>
      <w:r>
        <w:t>where the food contains an ingredient or component that has been irradiated—on the statement of ingredients related to the food (see section 1.2.4—2 of the Code)</w:t>
      </w:r>
      <w:r w:rsidR="000B6429" w:rsidRPr="00294025">
        <w:t xml:space="preserve">. </w:t>
      </w:r>
    </w:p>
    <w:p w14:paraId="4454ECFD" w14:textId="77777777" w:rsidR="00616599" w:rsidRDefault="00616599" w:rsidP="000B6429">
      <w:pPr>
        <w:widowControl/>
      </w:pPr>
    </w:p>
    <w:p w14:paraId="272880C8" w14:textId="7BBF65CE" w:rsidR="000B6429" w:rsidRPr="002B51DA" w:rsidRDefault="000B6429" w:rsidP="000B6429">
      <w:pPr>
        <w:rPr>
          <w:rFonts w:cs="Arial"/>
        </w:rPr>
      </w:pPr>
      <w:r w:rsidRPr="00357C6D">
        <w:rPr>
          <w:lang w:eastAsia="en-AU" w:bidi="ar-SA"/>
        </w:rPr>
        <w:t>Standard 1.2.</w:t>
      </w:r>
      <w:r w:rsidRPr="008F5DC7">
        <w:rPr>
          <w:lang w:eastAsia="en-AU" w:bidi="ar-SA"/>
        </w:rPr>
        <w:t>4</w:t>
      </w:r>
      <w:r w:rsidRPr="00310294">
        <w:rPr>
          <w:i/>
          <w:lang w:eastAsia="en-AU" w:bidi="ar-SA"/>
        </w:rPr>
        <w:t xml:space="preserve"> </w:t>
      </w:r>
      <w:r w:rsidRPr="003E33BA">
        <w:rPr>
          <w:lang w:eastAsia="en-AU" w:bidi="ar-SA"/>
        </w:rPr>
        <w:t>of the Code</w:t>
      </w:r>
      <w:r>
        <w:rPr>
          <w:i/>
          <w:lang w:eastAsia="en-AU" w:bidi="ar-SA"/>
        </w:rPr>
        <w:t xml:space="preserve"> </w:t>
      </w:r>
      <w:r w:rsidRPr="003F1388">
        <w:rPr>
          <w:lang w:eastAsia="en-AU" w:bidi="ar-SA"/>
        </w:rPr>
        <w:t>r</w:t>
      </w:r>
      <w:r>
        <w:rPr>
          <w:lang w:eastAsia="en-AU" w:bidi="ar-SA"/>
        </w:rPr>
        <w:t>equires ingredients to be listed by their common or descriptive names, or by a generic name if one is listed in S</w:t>
      </w:r>
      <w:r w:rsidRPr="00357C6D">
        <w:rPr>
          <w:lang w:eastAsia="en-AU" w:bidi="ar-SA"/>
        </w:rPr>
        <w:t>chedule 10</w:t>
      </w:r>
      <w:r>
        <w:rPr>
          <w:lang w:eastAsia="en-AU" w:bidi="ar-SA"/>
        </w:rPr>
        <w:t>. Schedule 10 lists ‘herbs’ and ‘spices’ as separate generic names that can be used on food labels.</w:t>
      </w:r>
    </w:p>
    <w:p w14:paraId="26029DA4" w14:textId="77777777" w:rsidR="002C1A3B" w:rsidRPr="008C301D" w:rsidRDefault="002C1A3B" w:rsidP="002C1A3B">
      <w:pPr>
        <w:pStyle w:val="Heading2"/>
      </w:pPr>
      <w:bookmarkStart w:id="87" w:name="_Toc19270498"/>
      <w:r>
        <w:t>2</w:t>
      </w:r>
      <w:r w:rsidRPr="008C301D">
        <w:t>.</w:t>
      </w:r>
      <w:r>
        <w:t>4</w:t>
      </w:r>
      <w:r w:rsidRPr="008C301D">
        <w:tab/>
        <w:t>Risk communication</w:t>
      </w:r>
      <w:bookmarkEnd w:id="80"/>
      <w:bookmarkEnd w:id="81"/>
      <w:bookmarkEnd w:id="87"/>
      <w:r w:rsidRPr="008C301D">
        <w:t xml:space="preserve"> </w:t>
      </w:r>
    </w:p>
    <w:p w14:paraId="4D66640F" w14:textId="77777777" w:rsidR="002C1A3B" w:rsidRPr="00F7337F" w:rsidRDefault="002C1A3B" w:rsidP="002C1A3B">
      <w:pPr>
        <w:pStyle w:val="Heading3"/>
        <w:rPr>
          <w:rFonts w:cs="Arial"/>
        </w:rPr>
      </w:pPr>
      <w:bookmarkStart w:id="88" w:name="_Toc300933437"/>
      <w:bookmarkStart w:id="89" w:name="_Toc370223475"/>
      <w:bookmarkStart w:id="90" w:name="_Toc370225390"/>
      <w:bookmarkStart w:id="91" w:name="_Toc19270499"/>
      <w:r w:rsidRPr="00F7337F">
        <w:rPr>
          <w:rFonts w:cs="Arial"/>
        </w:rPr>
        <w:t>2.4.1</w:t>
      </w:r>
      <w:r w:rsidRPr="00F7337F">
        <w:rPr>
          <w:rFonts w:cs="Arial"/>
        </w:rPr>
        <w:tab/>
        <w:t>Consultation</w:t>
      </w:r>
      <w:bookmarkEnd w:id="88"/>
      <w:bookmarkEnd w:id="89"/>
      <w:bookmarkEnd w:id="90"/>
      <w:bookmarkEnd w:id="91"/>
    </w:p>
    <w:p w14:paraId="7B2629E9" w14:textId="77777777" w:rsidR="000B6429" w:rsidRDefault="000B6429" w:rsidP="000B6429">
      <w:pPr>
        <w:rPr>
          <w:szCs w:val="22"/>
        </w:rPr>
      </w:pPr>
      <w:r w:rsidRPr="0027513D">
        <w:rPr>
          <w:szCs w:val="22"/>
        </w:rPr>
        <w:t>Consultation is a key part of FSANZ’s standards development process.</w:t>
      </w:r>
    </w:p>
    <w:p w14:paraId="0222C8BC" w14:textId="77777777" w:rsidR="000B6429" w:rsidRDefault="000B6429" w:rsidP="000B6429">
      <w:pPr>
        <w:rPr>
          <w:szCs w:val="22"/>
        </w:rPr>
      </w:pPr>
    </w:p>
    <w:p w14:paraId="0B7B75CB" w14:textId="3AEA1BA5" w:rsidR="000B6429" w:rsidRDefault="000B6429" w:rsidP="000B6429">
      <w:r>
        <w:t>FSANZ developed and applied a basic communication strategy to this application. All calls for submissions are notified via the FSANZ Notification Circular, media release, FSANZ’s social media tools and Food Standards News.</w:t>
      </w:r>
    </w:p>
    <w:p w14:paraId="1A62A7A5" w14:textId="77777777" w:rsidR="000B6429" w:rsidRDefault="000B6429" w:rsidP="000B6429"/>
    <w:p w14:paraId="55C62691" w14:textId="2262E7E5" w:rsidR="000B6429" w:rsidRDefault="000B6429" w:rsidP="000B6429">
      <w:pPr>
        <w:rPr>
          <w:highlight w:val="yellow"/>
        </w:rPr>
      </w:pPr>
      <w:r>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7EFD8444" w14:textId="212ED1AB" w:rsidR="00BB0A40" w:rsidRDefault="00BB0A40" w:rsidP="000B6429">
      <w:pPr>
        <w:rPr>
          <w:highlight w:val="yellow"/>
        </w:rPr>
      </w:pPr>
    </w:p>
    <w:p w14:paraId="79C6A2D9" w14:textId="50B8EFEF" w:rsidR="002C1A3B" w:rsidRPr="002C1A3B" w:rsidRDefault="00BB0A40" w:rsidP="002C1A3B">
      <w:pPr>
        <w:rPr>
          <w:szCs w:val="22"/>
        </w:rPr>
      </w:pPr>
      <w:r w:rsidRPr="00357371">
        <w:t xml:space="preserve">FSANZ acknowledges the time taken by individuals and organisations to make submissions on this </w:t>
      </w:r>
      <w:r>
        <w:t xml:space="preserve">application. </w:t>
      </w:r>
      <w:r w:rsidRPr="002C1A3B">
        <w:rPr>
          <w:szCs w:val="22"/>
        </w:rPr>
        <w:t xml:space="preserve">Every submission </w:t>
      </w:r>
      <w:r>
        <w:rPr>
          <w:szCs w:val="22"/>
        </w:rPr>
        <w:t>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ll comments are valued and contribute to the rigour of our assessment</w:t>
      </w:r>
      <w:r>
        <w:rPr>
          <w:szCs w:val="22"/>
        </w:rPr>
        <w:t>.</w:t>
      </w:r>
    </w:p>
    <w:p w14:paraId="7BB973DD" w14:textId="77777777" w:rsidR="002C1A3B" w:rsidRPr="002C1A3B" w:rsidRDefault="002C1A3B" w:rsidP="002C1A3B">
      <w:pPr>
        <w:pStyle w:val="Heading2"/>
      </w:pPr>
      <w:bookmarkStart w:id="92" w:name="_Toc370223477"/>
      <w:bookmarkStart w:id="93" w:name="_Toc370225392"/>
      <w:bookmarkStart w:id="94" w:name="_Toc19270500"/>
      <w:bookmarkStart w:id="95" w:name="_Toc309291816"/>
      <w:bookmarkStart w:id="96" w:name="_Toc300933448"/>
      <w:bookmarkStart w:id="97" w:name="_Toc300933577"/>
      <w:bookmarkStart w:id="98" w:name="_Toc301535601"/>
      <w:bookmarkStart w:id="99" w:name="_Toc309385464"/>
      <w:bookmarkStart w:id="100" w:name="_Toc175381456"/>
      <w:bookmarkEnd w:id="53"/>
      <w:bookmarkEnd w:id="54"/>
      <w:bookmarkEnd w:id="55"/>
      <w:bookmarkEnd w:id="56"/>
      <w:bookmarkEnd w:id="57"/>
      <w:bookmarkEnd w:id="58"/>
      <w:bookmarkEnd w:id="82"/>
      <w:r w:rsidRPr="002C1A3B">
        <w:t>2.5</w:t>
      </w:r>
      <w:r w:rsidRPr="002C1A3B">
        <w:tab/>
        <w:t>FSANZ Act assessment requirements</w:t>
      </w:r>
      <w:bookmarkEnd w:id="92"/>
      <w:bookmarkEnd w:id="93"/>
      <w:bookmarkEnd w:id="94"/>
    </w:p>
    <w:p w14:paraId="149ED78E" w14:textId="35DD4667" w:rsidR="002C1A3B" w:rsidRPr="002C1A3B" w:rsidRDefault="002C1A3B" w:rsidP="002C1A3B">
      <w:pPr>
        <w:pStyle w:val="Heading3"/>
      </w:pPr>
      <w:bookmarkStart w:id="101" w:name="_Toc370223478"/>
      <w:bookmarkStart w:id="102" w:name="_Toc370225393"/>
      <w:bookmarkStart w:id="103" w:name="_Toc19270501"/>
      <w:bookmarkEnd w:id="95"/>
      <w:bookmarkEnd w:id="96"/>
      <w:bookmarkEnd w:id="97"/>
      <w:bookmarkEnd w:id="98"/>
      <w:bookmarkEnd w:id="99"/>
      <w:r w:rsidRPr="002C1A3B">
        <w:t>2.5.1</w:t>
      </w:r>
      <w:r w:rsidRPr="002C1A3B">
        <w:tab/>
        <w:t xml:space="preserve">Section </w:t>
      </w:r>
      <w:r w:rsidRPr="00F7337F">
        <w:rPr>
          <w:rFonts w:cs="Arial"/>
        </w:rPr>
        <w:t>29</w:t>
      </w:r>
      <w:bookmarkEnd w:id="101"/>
      <w:bookmarkEnd w:id="102"/>
      <w:bookmarkEnd w:id="103"/>
    </w:p>
    <w:p w14:paraId="698C631E" w14:textId="151CF503" w:rsidR="00E73A75" w:rsidRPr="00914030" w:rsidRDefault="00E73A75" w:rsidP="00E73A75">
      <w:r w:rsidRPr="00914030">
        <w:t xml:space="preserve">When assessing </w:t>
      </w:r>
      <w:r>
        <w:t>this a</w:t>
      </w:r>
      <w:r w:rsidRPr="0052750A">
        <w:t xml:space="preserve">pplication and the subsequent development of a food regulatory measure, FSANZ had regard to </w:t>
      </w:r>
      <w:r w:rsidRPr="00914030">
        <w:t xml:space="preserve">the </w:t>
      </w:r>
      <w:r w:rsidRPr="00914030" w:rsidDel="00932F14">
        <w:t xml:space="preserve">following </w:t>
      </w:r>
      <w:r w:rsidRPr="00914030">
        <w:t xml:space="preserve">matters in section </w:t>
      </w:r>
      <w:r w:rsidRPr="0052750A">
        <w:t>29</w:t>
      </w:r>
      <w:r>
        <w:t xml:space="preserve"> of the FSANZ Act.</w:t>
      </w:r>
    </w:p>
    <w:p w14:paraId="10B1D3B2" w14:textId="7D53AB14" w:rsidR="00756F46" w:rsidRDefault="00756F46" w:rsidP="00756F46">
      <w:pPr>
        <w:pStyle w:val="Heading4"/>
      </w:pPr>
      <w:r>
        <w:t>2.5.1.1</w:t>
      </w:r>
      <w:r>
        <w:tab/>
        <w:t>Cost benefit analysis</w:t>
      </w:r>
    </w:p>
    <w:p w14:paraId="11131D66" w14:textId="77777777" w:rsidR="00756F46" w:rsidRPr="006C100E" w:rsidRDefault="00756F46" w:rsidP="00756F46">
      <w:pPr>
        <w:rPr>
          <w:rFonts w:cs="Arial"/>
        </w:rPr>
      </w:pPr>
      <w:r>
        <w:rPr>
          <w:rFonts w:cs="Arial"/>
        </w:rPr>
        <w:t>The OBPR</w:t>
      </w:r>
      <w:r w:rsidRPr="006C100E">
        <w:rPr>
          <w:rFonts w:cs="Arial"/>
        </w:rPr>
        <w:t xml:space="preserve"> exempted FSANZ from the need to undertake a formal R</w:t>
      </w:r>
      <w:r>
        <w:rPr>
          <w:rFonts w:cs="Arial"/>
        </w:rPr>
        <w:t>egulation Impact Statement</w:t>
      </w:r>
      <w:r w:rsidRPr="006C100E">
        <w:rPr>
          <w:rFonts w:cs="Arial"/>
        </w:rPr>
        <w:t xml:space="preserve"> in relation to the regulatory change proposed in response to this </w:t>
      </w:r>
      <w:r>
        <w:rPr>
          <w:rFonts w:cs="Arial"/>
        </w:rPr>
        <w:t>a</w:t>
      </w:r>
      <w:r w:rsidRPr="006C100E">
        <w:rPr>
          <w:rFonts w:cs="Arial"/>
        </w:rPr>
        <w:t>pplication (OBPR reference number:</w:t>
      </w:r>
      <w:r>
        <w:rPr>
          <w:rFonts w:cs="Arial"/>
        </w:rPr>
        <w:t xml:space="preserve"> </w:t>
      </w:r>
      <w:r w:rsidRPr="00892076">
        <w:rPr>
          <w:rFonts w:cs="Arial"/>
        </w:rPr>
        <w:t>25085</w:t>
      </w:r>
      <w:r w:rsidRPr="006C100E">
        <w:rPr>
          <w:rFonts w:cs="Arial"/>
        </w:rPr>
        <w:t xml:space="preserve">). This was due to OPBR being satisfied that this appears </w:t>
      </w:r>
      <w:r w:rsidRPr="00AE27B3">
        <w:rPr>
          <w:rFonts w:cs="Arial"/>
        </w:rPr>
        <w:t>likely to have on</w:t>
      </w:r>
      <w:r>
        <w:rPr>
          <w:rFonts w:cs="Arial"/>
        </w:rPr>
        <w:t>ly a minor regulatory impact.</w:t>
      </w:r>
    </w:p>
    <w:p w14:paraId="255B7B58" w14:textId="77777777" w:rsidR="00756F46" w:rsidRPr="006C100E" w:rsidRDefault="00756F46" w:rsidP="00756F46"/>
    <w:p w14:paraId="419795AB" w14:textId="12F033DB" w:rsidR="00756F46" w:rsidRDefault="00756F46" w:rsidP="00756F46">
      <w:pPr>
        <w:rPr>
          <w:rFonts w:cs="Arial"/>
        </w:rPr>
      </w:pPr>
      <w:r w:rsidRPr="006C100E">
        <w:rPr>
          <w:rFonts w:cs="Arial"/>
        </w:rPr>
        <w:t>FSANZ</w:t>
      </w:r>
      <w:r w:rsidRPr="00307D9F">
        <w:rPr>
          <w:rFonts w:cs="Arial"/>
        </w:rPr>
        <w:t xml:space="preserve">, however, </w:t>
      </w:r>
      <w:r>
        <w:rPr>
          <w:rFonts w:cs="Arial"/>
        </w:rPr>
        <w:t>had regard</w:t>
      </w:r>
      <w:r w:rsidRPr="00307D9F">
        <w:rPr>
          <w:rFonts w:cs="Arial"/>
        </w:rPr>
        <w:t xml:space="preserve"> to the costs and benefits that may arise from the proposed measure for the purposes of meeting FSANZ Act considerations. </w:t>
      </w:r>
      <w:r>
        <w:rPr>
          <w:rFonts w:cs="Arial"/>
        </w:rPr>
        <w:t>Section 29(2)(a) of th</w:t>
      </w:r>
      <w:r w:rsidRPr="00AA2EFF">
        <w:rPr>
          <w:rFonts w:cs="Arial"/>
        </w:rPr>
        <w:t xml:space="preserve">e FSANZ Act requires FSANZ to have regard to whether costs that would arise from the proposed measure outweigh the direct and indirect benefits to the community, government or industry that would arise </w:t>
      </w:r>
      <w:r>
        <w:rPr>
          <w:rFonts w:cs="Arial"/>
        </w:rPr>
        <w:t>from the proposed measure.</w:t>
      </w:r>
    </w:p>
    <w:p w14:paraId="6F558B86" w14:textId="77777777" w:rsidR="00756F46" w:rsidRDefault="00756F46" w:rsidP="00756F46">
      <w:pPr>
        <w:rPr>
          <w:rFonts w:cs="Arial"/>
        </w:rPr>
      </w:pPr>
    </w:p>
    <w:p w14:paraId="3FD67BAE" w14:textId="4E1C33A7" w:rsidR="00756F46" w:rsidRDefault="00756F46" w:rsidP="00756F46">
      <w:r>
        <w:lastRenderedPageBreak/>
        <w:t xml:space="preserve">The purpose of this analysis </w:t>
      </w:r>
      <w:r w:rsidR="008D6A71">
        <w:t xml:space="preserve">was </w:t>
      </w:r>
      <w:r>
        <w:t xml:space="preserve">to determine if the community, government and industry as a whole is likely to benefit, on balance, from a move from the status quo. This analysis </w:t>
      </w:r>
      <w:r w:rsidR="008D6A71">
        <w:t xml:space="preserve">considered </w:t>
      </w:r>
      <w:r>
        <w:t xml:space="preserve">the option to </w:t>
      </w:r>
      <w:r w:rsidRPr="003463F9">
        <w:t xml:space="preserve">clarify the meaning of the terms </w:t>
      </w:r>
      <w:r w:rsidR="0065051F">
        <w:t>‘</w:t>
      </w:r>
      <w:r w:rsidRPr="003463F9">
        <w:t>herbs</w:t>
      </w:r>
      <w:r w:rsidR="0065051F">
        <w:t>’</w:t>
      </w:r>
      <w:r w:rsidRPr="003463F9">
        <w:t xml:space="preserve"> and </w:t>
      </w:r>
      <w:r w:rsidR="0065051F">
        <w:t>‘</w:t>
      </w:r>
      <w:r w:rsidRPr="003463F9">
        <w:t>spices</w:t>
      </w:r>
      <w:r w:rsidR="0065051F">
        <w:t>’</w:t>
      </w:r>
      <w:r w:rsidRPr="003463F9">
        <w:t xml:space="preserve"> </w:t>
      </w:r>
      <w:r>
        <w:t>s</w:t>
      </w:r>
      <w:r w:rsidRPr="0043666D">
        <w:t xml:space="preserve">pecified in Standard </w:t>
      </w:r>
      <w:r w:rsidRPr="00EA21A7">
        <w:rPr>
          <w:szCs w:val="22"/>
        </w:rPr>
        <w:t xml:space="preserve">1.5.3 </w:t>
      </w:r>
      <w:r w:rsidRPr="0043666D">
        <w:t xml:space="preserve">of the </w:t>
      </w:r>
      <w:r>
        <w:t>Code</w:t>
      </w:r>
      <w:r w:rsidRPr="0043666D">
        <w:t xml:space="preserve"> </w:t>
      </w:r>
      <w:r w:rsidRPr="003463F9">
        <w:t xml:space="preserve">to ensure uniform interpretation and enforcement. </w:t>
      </w:r>
      <w:r w:rsidRPr="00C60712">
        <w:t>FSANZ is of the view that no other realistic food regulatory measures exist</w:t>
      </w:r>
      <w:r>
        <w:t>.</w:t>
      </w:r>
      <w:r w:rsidR="00E974C9">
        <w:t xml:space="preserve"> A consideration of costs and benefits was included in the call for submissions (CFS) report based on the </w:t>
      </w:r>
      <w:r w:rsidR="00E974C9" w:rsidRPr="00123842">
        <w:t xml:space="preserve">information and data held at that time. No further information has been received </w:t>
      </w:r>
      <w:r w:rsidR="00E974C9">
        <w:t>during</w:t>
      </w:r>
      <w:r w:rsidR="00E974C9" w:rsidRPr="00123842">
        <w:t xml:space="preserve"> the consultation </w:t>
      </w:r>
      <w:r w:rsidR="00E974C9" w:rsidRPr="005A2EAA">
        <w:t>process to date that influenced the findings from the analysis of costs and benefits in the CFS.</w:t>
      </w:r>
    </w:p>
    <w:p w14:paraId="2253A08C" w14:textId="77777777" w:rsidR="00756F46" w:rsidRDefault="00756F46" w:rsidP="00756F46"/>
    <w:p w14:paraId="7D42E8A2" w14:textId="47F9EB98" w:rsidR="00756F46" w:rsidRDefault="00756F46" w:rsidP="00756F46">
      <w:r w:rsidRPr="00824CF4">
        <w:t xml:space="preserve">The </w:t>
      </w:r>
      <w:r>
        <w:t>analysis</w:t>
      </w:r>
      <w:r w:rsidRPr="00824CF4">
        <w:t xml:space="preserve"> of the costs and benefits in this section </w:t>
      </w:r>
      <w:r w:rsidR="008D6A71">
        <w:t xml:space="preserve">were </w:t>
      </w:r>
      <w:r w:rsidRPr="00824CF4">
        <w:t>not intended to be an exhaustive, quantitative economic analysis of the proposed measures</w:t>
      </w:r>
      <w:r>
        <w:t>. I</w:t>
      </w:r>
      <w:r w:rsidRPr="00824CF4">
        <w:t xml:space="preserve">n fact, most of the effects that </w:t>
      </w:r>
      <w:r>
        <w:t>FSANZ had regard to</w:t>
      </w:r>
      <w:r w:rsidRPr="00824CF4">
        <w:t xml:space="preserve"> cannot easily be assigned a dollar value. Rather, the </w:t>
      </w:r>
      <w:r>
        <w:t xml:space="preserve">analysis </w:t>
      </w:r>
      <w:r w:rsidR="008D6A71">
        <w:t>soug</w:t>
      </w:r>
      <w:r w:rsidR="00E974C9">
        <w:t>h</w:t>
      </w:r>
      <w:r w:rsidR="008D6A71">
        <w:t>t</w:t>
      </w:r>
      <w:r w:rsidR="008D6A71" w:rsidRPr="00824CF4">
        <w:t xml:space="preserve"> </w:t>
      </w:r>
      <w:r w:rsidRPr="00824CF4">
        <w:t xml:space="preserve">to highlight the likely positives and negatives of moving away from the status quo </w:t>
      </w:r>
      <w:r>
        <w:t>to the option described above.</w:t>
      </w:r>
    </w:p>
    <w:p w14:paraId="0AE37D86" w14:textId="77777777" w:rsidR="00756F46" w:rsidRPr="00014619" w:rsidRDefault="00756F46" w:rsidP="00756F46">
      <w:pPr>
        <w:pStyle w:val="Heading5"/>
        <w:ind w:left="0" w:firstLine="0"/>
      </w:pPr>
      <w:r w:rsidRPr="00014619">
        <w:t xml:space="preserve">Costs and benefits of amending the Code to clarify the definition of herbs and spices  </w:t>
      </w:r>
    </w:p>
    <w:p w14:paraId="54533C18" w14:textId="77777777" w:rsidR="00756F46" w:rsidRDefault="00756F46" w:rsidP="00756F46">
      <w:pPr>
        <w:rPr>
          <w:color w:val="000000" w:themeColor="text1"/>
        </w:rPr>
      </w:pPr>
      <w:r w:rsidRPr="00EA6513">
        <w:rPr>
          <w:b/>
        </w:rPr>
        <w:t>Consumers</w:t>
      </w:r>
      <w:r w:rsidRPr="007C4017">
        <w:t xml:space="preserve"> -</w:t>
      </w:r>
      <w:r w:rsidRPr="005043CE">
        <w:t xml:space="preserve"> </w:t>
      </w:r>
      <w:r>
        <w:t xml:space="preserve">There may be some </w:t>
      </w:r>
      <w:r w:rsidRPr="005421E3">
        <w:rPr>
          <w:color w:val="000000" w:themeColor="text1"/>
        </w:rPr>
        <w:t xml:space="preserve">increase </w:t>
      </w:r>
      <w:r>
        <w:rPr>
          <w:color w:val="000000" w:themeColor="text1"/>
        </w:rPr>
        <w:t xml:space="preserve">in </w:t>
      </w:r>
      <w:r w:rsidRPr="005421E3">
        <w:rPr>
          <w:color w:val="000000" w:themeColor="text1"/>
        </w:rPr>
        <w:t>the range of</w:t>
      </w:r>
      <w:r>
        <w:rPr>
          <w:color w:val="000000" w:themeColor="text1"/>
        </w:rPr>
        <w:t xml:space="preserve"> food</w:t>
      </w:r>
      <w:r w:rsidRPr="005421E3">
        <w:rPr>
          <w:color w:val="000000" w:themeColor="text1"/>
        </w:rPr>
        <w:t xml:space="preserve"> products</w:t>
      </w:r>
      <w:r>
        <w:rPr>
          <w:color w:val="000000" w:themeColor="text1"/>
        </w:rPr>
        <w:t xml:space="preserve"> containing irradiated herbs and spices</w:t>
      </w:r>
      <w:r w:rsidRPr="005421E3">
        <w:rPr>
          <w:color w:val="000000" w:themeColor="text1"/>
        </w:rPr>
        <w:t xml:space="preserve"> a</w:t>
      </w:r>
      <w:r>
        <w:rPr>
          <w:color w:val="000000" w:themeColor="text1"/>
        </w:rPr>
        <w:t>vailable to consumers, particularl</w:t>
      </w:r>
      <w:r w:rsidRPr="005421E3">
        <w:rPr>
          <w:color w:val="000000" w:themeColor="text1"/>
        </w:rPr>
        <w:t>y from imported sources.</w:t>
      </w:r>
    </w:p>
    <w:p w14:paraId="18354A53" w14:textId="77777777" w:rsidR="00756F46" w:rsidRDefault="00756F46" w:rsidP="00756F46">
      <w:pPr>
        <w:rPr>
          <w:color w:val="000000" w:themeColor="text1"/>
        </w:rPr>
      </w:pPr>
    </w:p>
    <w:p w14:paraId="4F711151" w14:textId="77777777" w:rsidR="00756F46" w:rsidRPr="00B67B7E" w:rsidRDefault="00756F46" w:rsidP="00756F46">
      <w:pPr>
        <w:rPr>
          <w:color w:val="000000" w:themeColor="text1"/>
        </w:rPr>
      </w:pPr>
      <w:r>
        <w:rPr>
          <w:color w:val="000000" w:themeColor="text1"/>
        </w:rPr>
        <w:t>Whilst irradiated herbs and spices have been assessed as being safe, mandatory labelling of food containing any irradiated ingredients will allow</w:t>
      </w:r>
      <w:r w:rsidRPr="0083057C">
        <w:rPr>
          <w:color w:val="000000" w:themeColor="text1"/>
        </w:rPr>
        <w:t xml:space="preserve"> </w:t>
      </w:r>
      <w:r>
        <w:rPr>
          <w:color w:val="000000" w:themeColor="text1"/>
        </w:rPr>
        <w:t>consumers wishing to avoid such</w:t>
      </w:r>
      <w:r w:rsidRPr="0083057C">
        <w:rPr>
          <w:color w:val="000000" w:themeColor="text1"/>
        </w:rPr>
        <w:t xml:space="preserve"> </w:t>
      </w:r>
      <w:r>
        <w:rPr>
          <w:color w:val="000000" w:themeColor="text1"/>
        </w:rPr>
        <w:t xml:space="preserve">foods </w:t>
      </w:r>
      <w:r w:rsidRPr="0083057C">
        <w:rPr>
          <w:color w:val="000000" w:themeColor="text1"/>
        </w:rPr>
        <w:t>to do so.</w:t>
      </w:r>
    </w:p>
    <w:p w14:paraId="3FB22EFC" w14:textId="77777777" w:rsidR="00756F46" w:rsidRPr="00EA6513" w:rsidRDefault="00756F46" w:rsidP="00756F46"/>
    <w:p w14:paraId="31C15C3B" w14:textId="252C7E38" w:rsidR="00756F46" w:rsidRDefault="00756F46" w:rsidP="00756F46">
      <w:r w:rsidRPr="00EA6513">
        <w:rPr>
          <w:b/>
        </w:rPr>
        <w:t>Industry and business in general</w:t>
      </w:r>
      <w:r w:rsidRPr="007C4017">
        <w:t xml:space="preserve"> -</w:t>
      </w:r>
      <w:r w:rsidRPr="005043CE">
        <w:t xml:space="preserve"> </w:t>
      </w:r>
      <w:r>
        <w:t>Food businesses, particularly importers, are likely to benefit from more certain and consistent access to a greater range of food products containing irradiated herbs and spices. That is particularly where irradiation is more effective and</w:t>
      </w:r>
      <w:r w:rsidR="00782E12">
        <w:t>/</w:t>
      </w:r>
      <w:r>
        <w:t>or efficient at controlling bacterial contamination of foods than other techniques.</w:t>
      </w:r>
    </w:p>
    <w:p w14:paraId="61FBFF60" w14:textId="77777777" w:rsidR="00756F46" w:rsidRDefault="00756F46" w:rsidP="00756F46"/>
    <w:p w14:paraId="1B80EBB5" w14:textId="77777777" w:rsidR="00756F46" w:rsidRDefault="00756F46" w:rsidP="00756F46">
      <w:r w:rsidRPr="00EA6513">
        <w:rPr>
          <w:b/>
        </w:rPr>
        <w:t xml:space="preserve">Government </w:t>
      </w:r>
      <w:r w:rsidRPr="007C4017">
        <w:t>-</w:t>
      </w:r>
      <w:r w:rsidRPr="005043CE">
        <w:t xml:space="preserve"> </w:t>
      </w:r>
      <w:r>
        <w:t>Government enforcement agencies are likely to benefit from:</w:t>
      </w:r>
    </w:p>
    <w:p w14:paraId="3BDF2C76" w14:textId="62828217" w:rsidR="00756F46" w:rsidRPr="00DE5909" w:rsidRDefault="00756F46" w:rsidP="00530438">
      <w:pPr>
        <w:pStyle w:val="ListParagraph"/>
        <w:widowControl/>
        <w:numPr>
          <w:ilvl w:val="0"/>
          <w:numId w:val="4"/>
        </w:numPr>
        <w:contextualSpacing w:val="0"/>
      </w:pPr>
      <w:r w:rsidRPr="00DE5909">
        <w:t xml:space="preserve">greater certainty regarding the definitions of herbs and spices in Standard 1.5.3 (potentially reducing </w:t>
      </w:r>
      <w:r>
        <w:t xml:space="preserve">administration and </w:t>
      </w:r>
      <w:r w:rsidRPr="00DE5909">
        <w:t>enforcement costs)</w:t>
      </w:r>
      <w:r w:rsidR="00AA6E61">
        <w:t>;</w:t>
      </w:r>
    </w:p>
    <w:p w14:paraId="7BB97D0F" w14:textId="2FF23461" w:rsidR="00756F46" w:rsidRDefault="00756F46" w:rsidP="0095786C">
      <w:pPr>
        <w:pStyle w:val="ListParagraph"/>
        <w:widowControl/>
        <w:numPr>
          <w:ilvl w:val="0"/>
          <w:numId w:val="4"/>
        </w:numPr>
        <w:pBdr>
          <w:between w:val="single" w:sz="4" w:space="1" w:color="auto"/>
        </w:pBdr>
        <w:contextualSpacing w:val="0"/>
      </w:pPr>
      <w:r>
        <w:t xml:space="preserve">consistency with </w:t>
      </w:r>
      <w:r w:rsidR="004B0F62">
        <w:t>international regulations</w:t>
      </w:r>
      <w:r>
        <w:t>.</w:t>
      </w:r>
    </w:p>
    <w:p w14:paraId="15FFB29F" w14:textId="77777777" w:rsidR="00756F46" w:rsidRDefault="00756F46" w:rsidP="00756F46"/>
    <w:p w14:paraId="0D742F25" w14:textId="77777777" w:rsidR="00756F46" w:rsidRDefault="00756F46" w:rsidP="00756F46">
      <w:r w:rsidRPr="003463F9">
        <w:rPr>
          <w:b/>
        </w:rPr>
        <w:t>International Trade</w:t>
      </w:r>
      <w:r>
        <w:rPr>
          <w:b/>
        </w:rPr>
        <w:t xml:space="preserve"> </w:t>
      </w:r>
      <w:r w:rsidRPr="007C4017">
        <w:t>-</w:t>
      </w:r>
      <w:r w:rsidRPr="005043CE">
        <w:t xml:space="preserve"> The proposed change</w:t>
      </w:r>
      <w:r>
        <w:t xml:space="preserve"> would ensure greater regulatory consistency with trading partners.</w:t>
      </w:r>
    </w:p>
    <w:p w14:paraId="3D414674" w14:textId="77777777" w:rsidR="00756F46" w:rsidRPr="00014619" w:rsidRDefault="00756F46" w:rsidP="00756F46">
      <w:pPr>
        <w:pStyle w:val="Heading5"/>
      </w:pPr>
      <w:r w:rsidRPr="00014619">
        <w:t>Conclusions from cost benefit considerations</w:t>
      </w:r>
    </w:p>
    <w:p w14:paraId="0C38A9D5" w14:textId="59CFFA5D" w:rsidR="00756F46" w:rsidRPr="006C100E" w:rsidRDefault="00756F46" w:rsidP="00756F46">
      <w:r>
        <w:t xml:space="preserve">FSANZ’s analysis </w:t>
      </w:r>
      <w:r w:rsidR="00E974C9">
        <w:t xml:space="preserve">was </w:t>
      </w:r>
      <w:r>
        <w:t>that t</w:t>
      </w:r>
      <w:r w:rsidRPr="006C100E">
        <w:t>he direct and indirect benefits that would arise from a food regulatory measure</w:t>
      </w:r>
      <w:r>
        <w:t>,</w:t>
      </w:r>
      <w:r w:rsidRPr="006C100E">
        <w:t xml:space="preserve"> developed or varied as a result of the application</w:t>
      </w:r>
      <w:r>
        <w:t>,</w:t>
      </w:r>
      <w:r w:rsidRPr="006C100E">
        <w:t xml:space="preserve"> outweigh the costs to the community, </w:t>
      </w:r>
      <w:r>
        <w:t>g</w:t>
      </w:r>
      <w:r w:rsidRPr="006C100E">
        <w:t>overnment or industry that would arise from the development or variation of the food regulatory measure.</w:t>
      </w:r>
    </w:p>
    <w:p w14:paraId="494870A6" w14:textId="77777777" w:rsidR="002C1A3B" w:rsidRPr="002C1A3B" w:rsidRDefault="002C1A3B" w:rsidP="002C1A3B">
      <w:pPr>
        <w:pStyle w:val="Heading4"/>
      </w:pPr>
      <w:r w:rsidRPr="002C1A3B">
        <w:t>2.5.1.2</w:t>
      </w:r>
      <w:r w:rsidRPr="002C1A3B">
        <w:tab/>
        <w:t>Other measures</w:t>
      </w:r>
    </w:p>
    <w:p w14:paraId="770D1776" w14:textId="77777777" w:rsidR="00756F46" w:rsidRPr="0034715E" w:rsidRDefault="00756F46" w:rsidP="00756F46">
      <w:r w:rsidRPr="0034715E">
        <w:t>There are no other measures (whether available to FSANZ or not) that would be more cost</w:t>
      </w:r>
      <w:r>
        <w:noBreakHyphen/>
      </w:r>
      <w:r w:rsidRPr="0034715E">
        <w:t xml:space="preserve">effective than a food regulatory measure developed or varied as a result of the </w:t>
      </w:r>
      <w:r>
        <w:t>a</w:t>
      </w:r>
      <w:r w:rsidRPr="0034715E">
        <w:t xml:space="preserve">pplication. </w:t>
      </w:r>
    </w:p>
    <w:p w14:paraId="258883E6" w14:textId="77777777" w:rsidR="002C1A3B" w:rsidRPr="002C1A3B" w:rsidRDefault="002C1A3B" w:rsidP="002C1A3B">
      <w:pPr>
        <w:pStyle w:val="Heading4"/>
      </w:pPr>
      <w:r w:rsidRPr="002C1A3B">
        <w:t>2.5.1.3</w:t>
      </w:r>
      <w:r w:rsidRPr="002C1A3B">
        <w:tab/>
        <w:t>Any relevant New Zealand standards</w:t>
      </w:r>
    </w:p>
    <w:p w14:paraId="7042F159" w14:textId="77777777" w:rsidR="00756F46" w:rsidRDefault="00756F46" w:rsidP="00756F46">
      <w:pPr>
        <w:rPr>
          <w:lang w:bidi="ar-SA"/>
        </w:rPr>
      </w:pPr>
      <w:r>
        <w:rPr>
          <w:lang w:bidi="ar-SA"/>
        </w:rPr>
        <w:t>The standards in question apply in both Australia and New Zealand. There are no relevant New Zealand only standards.</w:t>
      </w:r>
    </w:p>
    <w:p w14:paraId="5DBA1589" w14:textId="6EC4B0B8" w:rsidR="001F7F63" w:rsidRDefault="002C1A3B" w:rsidP="000E438B">
      <w:pPr>
        <w:pStyle w:val="Heading4"/>
      </w:pPr>
      <w:r w:rsidRPr="002C1A3B">
        <w:lastRenderedPageBreak/>
        <w:t>2.5.1.4</w:t>
      </w:r>
      <w:r w:rsidRPr="002C1A3B">
        <w:tab/>
        <w:t>Any other relevant matters</w:t>
      </w:r>
      <w:bookmarkStart w:id="104" w:name="_Toc370223479"/>
      <w:bookmarkStart w:id="105" w:name="_Toc370225394"/>
      <w:bookmarkStart w:id="106" w:name="_Toc300761897"/>
      <w:bookmarkStart w:id="107" w:name="_Toc300933440"/>
    </w:p>
    <w:p w14:paraId="46D91378" w14:textId="77777777" w:rsidR="001F7F63" w:rsidRDefault="001F7F63" w:rsidP="001F7F63">
      <w:pPr>
        <w:rPr>
          <w:lang w:bidi="ar-SA"/>
        </w:rPr>
      </w:pPr>
      <w:r>
        <w:t>Other relevant matters are considered below</w:t>
      </w:r>
      <w:r>
        <w:rPr>
          <w:lang w:bidi="ar-SA"/>
        </w:rPr>
        <w:t>.</w:t>
      </w:r>
      <w:r>
        <w:t xml:space="preserve"> </w:t>
      </w:r>
    </w:p>
    <w:p w14:paraId="10CCAF40" w14:textId="77777777" w:rsidR="002C1A3B" w:rsidRPr="002C1A3B" w:rsidRDefault="002C1A3B" w:rsidP="002C1A3B">
      <w:pPr>
        <w:pStyle w:val="Heading3"/>
      </w:pPr>
      <w:bookmarkStart w:id="108" w:name="_Toc19270502"/>
      <w:r w:rsidRPr="002C1A3B">
        <w:t>2.5.2.</w:t>
      </w:r>
      <w:r w:rsidRPr="002C1A3B">
        <w:tab/>
        <w:t>Subsection 18(1)</w:t>
      </w:r>
      <w:bookmarkEnd w:id="104"/>
      <w:bookmarkEnd w:id="105"/>
      <w:bookmarkEnd w:id="108"/>
      <w:r w:rsidRPr="002C1A3B">
        <w:t xml:space="preserve"> </w:t>
      </w:r>
      <w:bookmarkEnd w:id="106"/>
      <w:bookmarkEnd w:id="107"/>
    </w:p>
    <w:p w14:paraId="176BD6C3" w14:textId="7AD5AA4E" w:rsidR="002C1A3B" w:rsidRPr="002C1A3B" w:rsidRDefault="002C1A3B" w:rsidP="002C1A3B">
      <w:r w:rsidRPr="002C1A3B">
        <w:rPr>
          <w:rFonts w:cs="Arial"/>
        </w:rPr>
        <w:t xml:space="preserve">FSANZ has also </w:t>
      </w:r>
      <w:r w:rsidR="00782E12">
        <w:t>had regard to</w:t>
      </w:r>
      <w:r w:rsidR="00782E12" w:rsidRPr="002C1A3B">
        <w:t xml:space="preserve"> </w:t>
      </w:r>
      <w:r w:rsidRPr="002C1A3B">
        <w:t>the three objectives in subsection 18(1) of the FSANZ Act during the assessment.</w:t>
      </w:r>
    </w:p>
    <w:p w14:paraId="1F1AA646" w14:textId="77777777" w:rsidR="002C1A3B" w:rsidRPr="002C1A3B" w:rsidRDefault="002C1A3B" w:rsidP="002C1A3B">
      <w:pPr>
        <w:pStyle w:val="Heading4"/>
        <w:rPr>
          <w:lang w:eastAsia="en-AU"/>
        </w:rPr>
      </w:pPr>
      <w:bookmarkStart w:id="109" w:name="_Toc297029117"/>
      <w:bookmarkStart w:id="110" w:name="_Toc300761898"/>
      <w:bookmarkStart w:id="111" w:name="_Toc300933441"/>
      <w:r w:rsidRPr="002C1A3B">
        <w:rPr>
          <w:lang w:eastAsia="en-AU"/>
        </w:rPr>
        <w:t>2.5.2.1</w:t>
      </w:r>
      <w:r w:rsidRPr="002C1A3B">
        <w:rPr>
          <w:lang w:eastAsia="en-AU"/>
        </w:rPr>
        <w:tab/>
        <w:t>Protection of public health and safety</w:t>
      </w:r>
      <w:bookmarkEnd w:id="109"/>
      <w:bookmarkEnd w:id="110"/>
      <w:bookmarkEnd w:id="111"/>
    </w:p>
    <w:p w14:paraId="6AF88E05" w14:textId="77777777" w:rsidR="00756F46" w:rsidRDefault="00756F46" w:rsidP="00756F46">
      <w:bookmarkStart w:id="112" w:name="_Toc300761899"/>
      <w:bookmarkStart w:id="113" w:name="_Toc300933442"/>
      <w:r>
        <w:t>FSANZ considers that there are no public health and safety risks related to the proposed amendment.</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12"/>
      <w:bookmarkEnd w:id="113"/>
    </w:p>
    <w:p w14:paraId="7F19C395" w14:textId="77777777" w:rsidR="00756F46" w:rsidRPr="00AB0AA9" w:rsidRDefault="00756F46" w:rsidP="00756F46">
      <w:pPr>
        <w:rPr>
          <w:rFonts w:cs="Arial"/>
        </w:rPr>
      </w:pPr>
      <w:bookmarkStart w:id="114" w:name="_Toc300761900"/>
      <w:bookmarkStart w:id="115" w:name="_Toc300933443"/>
      <w:r w:rsidRPr="00AB0AA9">
        <w:t xml:space="preserve">The mandatory requirements under Standard 1.5.3 to label irradiated foods </w:t>
      </w:r>
      <w:r>
        <w:t xml:space="preserve">will </w:t>
      </w:r>
      <w:r w:rsidRPr="00AB0AA9">
        <w:t xml:space="preserve">provide information </w:t>
      </w:r>
      <w:r>
        <w:t>to enable</w:t>
      </w:r>
      <w:r w:rsidRPr="00AB0AA9">
        <w:t xml:space="preserve"> consumers to make informed purchase decisions. </w:t>
      </w:r>
    </w:p>
    <w:p w14:paraId="645283E6"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14"/>
      <w:bookmarkEnd w:id="115"/>
    </w:p>
    <w:p w14:paraId="5D8AC690" w14:textId="77777777" w:rsidR="00756F46" w:rsidRPr="00BE3818" w:rsidRDefault="00756F46" w:rsidP="00756F46">
      <w:bookmarkStart w:id="116" w:name="_Toc300761901"/>
      <w:bookmarkStart w:id="117" w:name="_Toc300933444"/>
      <w:bookmarkStart w:id="118" w:name="_Toc370223480"/>
      <w:bookmarkStart w:id="119" w:name="_Toc370225395"/>
      <w:r>
        <w:t>There are no issues identified with this application relevant to this objective.</w:t>
      </w:r>
    </w:p>
    <w:p w14:paraId="7183F1D0"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16"/>
      <w:bookmarkEnd w:id="117"/>
      <w:r w:rsidRPr="002C1A3B">
        <w:rPr>
          <w:b/>
          <w:bCs/>
          <w:lang w:eastAsia="en-AU" w:bidi="ar-SA"/>
        </w:rPr>
        <w:t>considerations</w:t>
      </w:r>
      <w:bookmarkEnd w:id="118"/>
      <w:bookmarkEnd w:id="119"/>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741468E1" w14:textId="4127E83E" w:rsidR="00756F46" w:rsidRDefault="00756F46" w:rsidP="00756F46">
      <w:r>
        <w:t>See section 2.</w:t>
      </w:r>
      <w:r w:rsidR="00A70381">
        <w:t>2</w:t>
      </w:r>
      <w:r>
        <w:t xml:space="preserve"> of this report. As explained, </w:t>
      </w:r>
      <w:r w:rsidRPr="00A011A2">
        <w:t>FSANZ has previously assessed and characterised the risk from consumption of irradiated foods</w:t>
      </w:r>
      <w:r>
        <w:t>, and for herbs and spices this was conducted under A413</w:t>
      </w:r>
      <w:r w:rsidRPr="00A011A2">
        <w:t>.</w:t>
      </w:r>
      <w:r>
        <w:t xml:space="preserve"> Those assessments were based on and had regard to the best available scientific evidence. FSANZ is not aware of any new scientific evidence to suggest that these previous risk assessments require revision.</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29A32622" w14:textId="77777777" w:rsidR="00756F46" w:rsidRPr="00AB0AA9" w:rsidRDefault="00756F46" w:rsidP="00756F46">
      <w:pPr>
        <w:rPr>
          <w:lang w:bidi="ar-SA"/>
        </w:rPr>
      </w:pPr>
      <w:r>
        <w:rPr>
          <w:lang w:bidi="ar-SA"/>
        </w:rPr>
        <w:t>Regulatory certainty that there is a</w:t>
      </w:r>
      <w:r w:rsidRPr="00AB0AA9">
        <w:rPr>
          <w:lang w:bidi="ar-SA"/>
        </w:rPr>
        <w:t>pproval to i</w:t>
      </w:r>
      <w:r>
        <w:rPr>
          <w:lang w:bidi="ar-SA"/>
        </w:rPr>
        <w:t xml:space="preserve">rradiate any herb or spice </w:t>
      </w:r>
      <w:r w:rsidRPr="00AB0AA9">
        <w:rPr>
          <w:lang w:bidi="ar-SA"/>
        </w:rPr>
        <w:t xml:space="preserve">will promote consistency with other countries that </w:t>
      </w:r>
      <w:r>
        <w:rPr>
          <w:lang w:bidi="ar-SA"/>
        </w:rPr>
        <w:t>permit the irradiation of herbs and spices.</w:t>
      </w:r>
    </w:p>
    <w:p w14:paraId="0B5AD2DA" w14:textId="77777777" w:rsidR="002C1A3B" w:rsidRPr="002C1A3B" w:rsidRDefault="002C1A3B" w:rsidP="002C1A3B">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25B1F404" w14:textId="77777777" w:rsidR="00756F46" w:rsidRDefault="00756F46" w:rsidP="00756F46">
      <w:r>
        <w:t>Ensuring regulatory clarity relating to food irradiation permissions for herbs and spices helps enable an efficient and internationally competitive food industry.</w:t>
      </w:r>
    </w:p>
    <w:p w14:paraId="340BFA6D" w14:textId="77777777" w:rsidR="002C1A3B" w:rsidRPr="002C1A3B" w:rsidRDefault="002C1A3B" w:rsidP="002C1A3B">
      <w:pPr>
        <w:rPr>
          <w:lang w:bidi="ar-SA"/>
        </w:rPr>
      </w:pPr>
    </w:p>
    <w:p w14:paraId="4A92FA8B" w14:textId="77777777" w:rsidR="002C1A3B" w:rsidRPr="002C1A3B" w:rsidRDefault="002C1A3B" w:rsidP="002C1A3B">
      <w:pPr>
        <w:pStyle w:val="FSBullet1"/>
        <w:rPr>
          <w:b/>
        </w:rPr>
      </w:pPr>
      <w:r w:rsidRPr="002C1A3B">
        <w:rPr>
          <w:b/>
        </w:rPr>
        <w:t>the promotion of fair trading in food</w:t>
      </w:r>
    </w:p>
    <w:p w14:paraId="03A28343" w14:textId="77777777" w:rsidR="002C1A3B" w:rsidRPr="002C1A3B" w:rsidRDefault="002C1A3B" w:rsidP="002C1A3B">
      <w:pPr>
        <w:rPr>
          <w:lang w:bidi="ar-SA"/>
        </w:rPr>
      </w:pPr>
    </w:p>
    <w:p w14:paraId="6251F19A" w14:textId="77777777" w:rsidR="00756F46" w:rsidRPr="00361CEF" w:rsidRDefault="00756F46" w:rsidP="00756F46">
      <w:pPr>
        <w:rPr>
          <w:lang w:bidi="ar-SA"/>
        </w:rPr>
      </w:pPr>
      <w:r>
        <w:rPr>
          <w:lang w:bidi="ar-SA"/>
        </w:rPr>
        <w:t xml:space="preserve">As explained above, in terms of fair trading and consumer protection, </w:t>
      </w:r>
      <w:r>
        <w:t>the</w:t>
      </w:r>
      <w:r w:rsidRPr="00AB0AA9">
        <w:t xml:space="preserve"> mandatory requirements under Standard 1.5.3 </w:t>
      </w:r>
      <w:r>
        <w:t xml:space="preserve">of the Code </w:t>
      </w:r>
      <w:r w:rsidRPr="00AB0AA9">
        <w:t xml:space="preserve">to label irradiated foods </w:t>
      </w:r>
      <w:r>
        <w:t xml:space="preserve">will </w:t>
      </w:r>
      <w:r w:rsidRPr="00AB0AA9">
        <w:t xml:space="preserve">provide information </w:t>
      </w:r>
      <w:r>
        <w:t>to enable</w:t>
      </w:r>
      <w:r w:rsidRPr="00AB0AA9">
        <w:t xml:space="preserve"> consumers to make informed purchase decisions</w:t>
      </w:r>
      <w:r w:rsidRPr="00361CEF">
        <w:rPr>
          <w:lang w:bidi="ar-SA"/>
        </w:rPr>
        <w:t>.</w:t>
      </w:r>
    </w:p>
    <w:p w14:paraId="640EF022" w14:textId="77777777" w:rsidR="002C1A3B" w:rsidRPr="002C1A3B" w:rsidRDefault="002C1A3B" w:rsidP="002C1A3B">
      <w:pPr>
        <w:rPr>
          <w:lang w:bidi="ar-SA"/>
        </w:rPr>
      </w:pP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1E27E4D" w14:textId="77777777" w:rsidR="002C1A3B" w:rsidRPr="002C1A3B" w:rsidRDefault="002C1A3B" w:rsidP="002C1A3B">
      <w:pPr>
        <w:rPr>
          <w:lang w:bidi="ar-SA"/>
        </w:rPr>
      </w:pPr>
    </w:p>
    <w:p w14:paraId="287FC5B0" w14:textId="77777777" w:rsidR="00756F46" w:rsidRDefault="00756F46" w:rsidP="00756F46">
      <w:r>
        <w:lastRenderedPageBreak/>
        <w:t xml:space="preserve">The Policy Guideline on the </w:t>
      </w:r>
      <w:hyperlink r:id="rId22" w:history="1">
        <w:r w:rsidRPr="007A19D7">
          <w:rPr>
            <w:rStyle w:val="Hyperlink"/>
            <w:color w:val="auto"/>
            <w:u w:val="none"/>
          </w:rPr>
          <w:t>Labelling of Food Produced using New Technologies</w:t>
        </w:r>
      </w:hyperlink>
      <w:r w:rsidRPr="007A19D7">
        <w:rPr>
          <w:rStyle w:val="FootnoteReference"/>
          <w:u w:val="single"/>
        </w:rPr>
        <w:footnoteReference w:id="4"/>
      </w:r>
    </w:p>
    <w:p w14:paraId="48CFBD37" w14:textId="77777777" w:rsidR="00756F46" w:rsidRDefault="00756F46" w:rsidP="00756F46">
      <w:r>
        <w:t>includes specific order policy principles. Labelling of irradiated foods is already a requirement in the Code. FSANZ has determined that clarifying the Code in respect of the definitions of herbs and spices is consistent with the Ministerial Policy Guideline and the specific order principles.</w:t>
      </w:r>
    </w:p>
    <w:p w14:paraId="55D2119E" w14:textId="233030F2" w:rsidR="001122EC" w:rsidRPr="00E974C9" w:rsidRDefault="00E41C43" w:rsidP="001122EC">
      <w:pPr>
        <w:pStyle w:val="Heading1"/>
        <w:rPr>
          <w:rFonts w:ascii="Arial Bold" w:hAnsi="Arial Bold"/>
        </w:rPr>
      </w:pPr>
      <w:bookmarkStart w:id="120" w:name="_Toc19270503"/>
      <w:bookmarkStart w:id="121" w:name="_Toc11735643"/>
      <w:bookmarkStart w:id="122" w:name="_Toc29883130"/>
      <w:bookmarkStart w:id="123" w:name="_Toc41906817"/>
      <w:bookmarkStart w:id="124" w:name="_Toc41907564"/>
      <w:bookmarkStart w:id="125" w:name="_Toc43112360"/>
      <w:bookmarkEnd w:id="100"/>
      <w:r w:rsidRPr="00E974C9">
        <w:rPr>
          <w:rFonts w:ascii="Arial Bold" w:hAnsi="Arial Bold"/>
        </w:rPr>
        <w:t>3</w:t>
      </w:r>
      <w:r w:rsidR="001122EC" w:rsidRPr="00E974C9">
        <w:rPr>
          <w:rFonts w:ascii="Arial Bold" w:hAnsi="Arial Bold"/>
        </w:rPr>
        <w:tab/>
        <w:t>R</w:t>
      </w:r>
      <w:r w:rsidR="000B427A" w:rsidRPr="00E974C9">
        <w:rPr>
          <w:rFonts w:ascii="Arial Bold" w:hAnsi="Arial Bold"/>
        </w:rPr>
        <w:t>eferences</w:t>
      </w:r>
      <w:bookmarkEnd w:id="120"/>
    </w:p>
    <w:p w14:paraId="0D688B5D" w14:textId="0ED6C4FE" w:rsidR="00E73A75" w:rsidRDefault="00E73A75" w:rsidP="00E73A75">
      <w:pPr>
        <w:spacing w:before="120" w:after="120"/>
        <w:rPr>
          <w:szCs w:val="22"/>
          <w:lang w:bidi="ar-SA"/>
        </w:rPr>
      </w:pPr>
      <w:r w:rsidRPr="00347726">
        <w:rPr>
          <w:szCs w:val="22"/>
          <w:lang w:bidi="ar-SA"/>
        </w:rPr>
        <w:t>ANZFA (2001) Application A413</w:t>
      </w:r>
      <w:r>
        <w:rPr>
          <w:szCs w:val="22"/>
          <w:lang w:bidi="ar-SA"/>
        </w:rPr>
        <w:t xml:space="preserve"> </w:t>
      </w:r>
      <w:hyperlink r:id="rId23" w:history="1">
        <w:r w:rsidRPr="00FF2471">
          <w:rPr>
            <w:rStyle w:val="Hyperlink"/>
            <w:szCs w:val="22"/>
            <w:lang w:bidi="ar-SA"/>
          </w:rPr>
          <w:t>Irradiation of Herbs and Spices</w:t>
        </w:r>
      </w:hyperlink>
      <w:r w:rsidRPr="00347726">
        <w:rPr>
          <w:szCs w:val="22"/>
          <w:lang w:bidi="ar-SA"/>
        </w:rPr>
        <w:t>. Australia N</w:t>
      </w:r>
      <w:r>
        <w:rPr>
          <w:szCs w:val="22"/>
          <w:lang w:bidi="ar-SA"/>
        </w:rPr>
        <w:t>ew Zealand Food Authority,</w:t>
      </w:r>
      <w:r w:rsidR="00C36EEE">
        <w:rPr>
          <w:szCs w:val="22"/>
          <w:lang w:bidi="ar-SA"/>
        </w:rPr>
        <w:t xml:space="preserve"> </w:t>
      </w:r>
      <w:r>
        <w:rPr>
          <w:szCs w:val="22"/>
          <w:lang w:bidi="ar-SA"/>
        </w:rPr>
        <w:t>Canberra.</w:t>
      </w:r>
    </w:p>
    <w:p w14:paraId="7EB72E3F" w14:textId="77777777" w:rsidR="00E73A75" w:rsidRDefault="00E73A75" w:rsidP="00E73A75">
      <w:pPr>
        <w:pStyle w:val="FootnoteText"/>
        <w:spacing w:before="120" w:after="120"/>
        <w:rPr>
          <w:rStyle w:val="Hyperlink"/>
          <w:color w:val="auto"/>
          <w:sz w:val="22"/>
          <w:szCs w:val="22"/>
          <w:u w:val="none"/>
        </w:rPr>
      </w:pPr>
      <w:r>
        <w:rPr>
          <w:rStyle w:val="Hyperlink"/>
          <w:color w:val="auto"/>
          <w:sz w:val="22"/>
          <w:szCs w:val="22"/>
          <w:u w:val="none"/>
        </w:rPr>
        <w:t>CFDR 2019</w:t>
      </w:r>
      <w:r w:rsidRPr="00347726">
        <w:rPr>
          <w:rStyle w:val="Hyperlink"/>
          <w:color w:val="auto"/>
          <w:sz w:val="22"/>
          <w:szCs w:val="22"/>
          <w:u w:val="none"/>
        </w:rPr>
        <w:t xml:space="preserve"> </w:t>
      </w:r>
      <w:hyperlink r:id="rId24" w:history="1">
        <w:r w:rsidRPr="00347726">
          <w:rPr>
            <w:rStyle w:val="Hyperlink"/>
            <w:sz w:val="22"/>
            <w:szCs w:val="22"/>
          </w:rPr>
          <w:t>Government of Canada Food and Drug Regulations C.R.C.,c 870</w:t>
        </w:r>
      </w:hyperlink>
      <w:r w:rsidRPr="00347726">
        <w:rPr>
          <w:rStyle w:val="Hyperlink"/>
          <w:sz w:val="22"/>
          <w:szCs w:val="22"/>
        </w:rPr>
        <w:t xml:space="preserve"> </w:t>
      </w:r>
      <w:r w:rsidRPr="00347726">
        <w:rPr>
          <w:rStyle w:val="Hyperlink"/>
          <w:color w:val="auto"/>
          <w:sz w:val="22"/>
          <w:szCs w:val="22"/>
          <w:u w:val="none"/>
        </w:rPr>
        <w:t>Division 26 Food Irradiation. Accessed 9 April 2019.</w:t>
      </w:r>
    </w:p>
    <w:p w14:paraId="54762152" w14:textId="77777777" w:rsidR="00E73A75" w:rsidRPr="00347726" w:rsidRDefault="00E73A75" w:rsidP="00E73A75">
      <w:pPr>
        <w:pStyle w:val="FootnoteText"/>
        <w:spacing w:before="120" w:after="120"/>
        <w:rPr>
          <w:rStyle w:val="Hyperlink"/>
          <w:color w:val="auto"/>
          <w:sz w:val="22"/>
          <w:szCs w:val="22"/>
          <w:u w:val="none"/>
        </w:rPr>
      </w:pPr>
      <w:r>
        <w:rPr>
          <w:rStyle w:val="Hyperlink"/>
          <w:color w:val="auto"/>
          <w:sz w:val="22"/>
          <w:szCs w:val="22"/>
          <w:u w:val="none"/>
        </w:rPr>
        <w:t xml:space="preserve">CCFH (1983) Codex Standard for Irradiated Food. </w:t>
      </w:r>
      <w:hyperlink r:id="rId25" w:history="1">
        <w:r w:rsidRPr="003B4A61">
          <w:rPr>
            <w:rStyle w:val="Hyperlink"/>
            <w:sz w:val="22"/>
            <w:szCs w:val="22"/>
          </w:rPr>
          <w:t>Codex STAN 106-1983-REV.1-2003</w:t>
        </w:r>
      </w:hyperlink>
      <w:r>
        <w:rPr>
          <w:rStyle w:val="Hyperlink"/>
          <w:color w:val="auto"/>
          <w:sz w:val="22"/>
          <w:szCs w:val="22"/>
          <w:u w:val="none"/>
        </w:rPr>
        <w:t>. Accessed 9 April 2019.</w:t>
      </w:r>
    </w:p>
    <w:p w14:paraId="52E91922" w14:textId="77777777" w:rsidR="00E73A75" w:rsidRPr="00347726" w:rsidRDefault="00E73A75" w:rsidP="00E73A75">
      <w:pPr>
        <w:pStyle w:val="FootnoteText"/>
        <w:spacing w:before="120" w:after="120"/>
        <w:rPr>
          <w:rFonts w:cs="Arial"/>
          <w:color w:val="444444"/>
          <w:sz w:val="22"/>
          <w:szCs w:val="22"/>
          <w:lang w:val="en"/>
        </w:rPr>
      </w:pPr>
      <w:r w:rsidRPr="00347726">
        <w:rPr>
          <w:rFonts w:cs="Arial"/>
          <w:color w:val="444444"/>
          <w:sz w:val="22"/>
          <w:szCs w:val="22"/>
          <w:lang w:val="en"/>
        </w:rPr>
        <w:t xml:space="preserve">EC (1999) </w:t>
      </w:r>
      <w:hyperlink r:id="rId26" w:history="1">
        <w:r w:rsidRPr="00347726">
          <w:rPr>
            <w:rStyle w:val="Hyperlink"/>
            <w:rFonts w:cs="Arial"/>
            <w:sz w:val="22"/>
            <w:szCs w:val="22"/>
            <w:lang w:val="en"/>
          </w:rPr>
          <w:t>Commission Implementing Directive (EC) 1999/3/EC</w:t>
        </w:r>
      </w:hyperlink>
      <w:r w:rsidRPr="00347726">
        <w:rPr>
          <w:rFonts w:cs="Arial"/>
          <w:color w:val="444444"/>
          <w:sz w:val="22"/>
          <w:szCs w:val="22"/>
          <w:lang w:val="en"/>
        </w:rPr>
        <w:t xml:space="preserve"> of 22 February 1999 on the establishment of a Community list of foods and food ingredients treated with ionising radiation. Accessed 9 April 2019.</w:t>
      </w:r>
    </w:p>
    <w:p w14:paraId="53761F18" w14:textId="77777777" w:rsidR="00E73A75" w:rsidRPr="00347726" w:rsidRDefault="00E73A75" w:rsidP="00E73A75">
      <w:pPr>
        <w:spacing w:before="120" w:after="120"/>
        <w:rPr>
          <w:rStyle w:val="Hyperlink"/>
          <w:color w:val="auto"/>
          <w:szCs w:val="22"/>
          <w:u w:val="none"/>
        </w:rPr>
      </w:pPr>
      <w:r w:rsidRPr="00347726">
        <w:rPr>
          <w:rStyle w:val="Hyperlink"/>
          <w:color w:val="auto"/>
          <w:szCs w:val="22"/>
          <w:u w:val="none"/>
        </w:rPr>
        <w:t>FSANZ (2002) Application A443</w:t>
      </w:r>
      <w:r>
        <w:rPr>
          <w:rStyle w:val="Hyperlink"/>
          <w:color w:val="auto"/>
          <w:szCs w:val="22"/>
          <w:u w:val="none"/>
        </w:rPr>
        <w:t xml:space="preserve"> </w:t>
      </w:r>
      <w:hyperlink r:id="rId27" w:history="1">
        <w:r>
          <w:rPr>
            <w:rStyle w:val="Hyperlink"/>
            <w:szCs w:val="22"/>
          </w:rPr>
          <w:t xml:space="preserve"> Irradiation of Tropical Fruits</w:t>
        </w:r>
      </w:hyperlink>
      <w:r w:rsidRPr="00347726">
        <w:rPr>
          <w:rStyle w:val="Hyperlink"/>
          <w:color w:val="auto"/>
          <w:szCs w:val="22"/>
          <w:u w:val="none"/>
        </w:rPr>
        <w:t>. Food Standards Australia New Zealand</w:t>
      </w:r>
      <w:r>
        <w:rPr>
          <w:rStyle w:val="Hyperlink"/>
          <w:color w:val="auto"/>
          <w:szCs w:val="22"/>
          <w:u w:val="none"/>
        </w:rPr>
        <w:t>, Canberra</w:t>
      </w:r>
      <w:r w:rsidRPr="00347726">
        <w:rPr>
          <w:rStyle w:val="Hyperlink"/>
          <w:color w:val="auto"/>
          <w:szCs w:val="22"/>
          <w:u w:val="none"/>
        </w:rPr>
        <w:t>.</w:t>
      </w:r>
    </w:p>
    <w:p w14:paraId="7593AB37" w14:textId="77777777" w:rsidR="00E73A75" w:rsidRPr="00347726" w:rsidRDefault="00E73A75" w:rsidP="00E73A75">
      <w:pPr>
        <w:spacing w:before="120" w:after="120"/>
        <w:rPr>
          <w:rStyle w:val="Hyperlink"/>
          <w:color w:val="auto"/>
          <w:szCs w:val="22"/>
          <w:u w:val="none"/>
        </w:rPr>
      </w:pPr>
      <w:r w:rsidRPr="00347726">
        <w:rPr>
          <w:rStyle w:val="Hyperlink"/>
          <w:color w:val="auto"/>
          <w:szCs w:val="22"/>
          <w:u w:val="none"/>
        </w:rPr>
        <w:t>FSANZ (2011) Application A1038</w:t>
      </w:r>
      <w:r>
        <w:rPr>
          <w:rStyle w:val="Hyperlink"/>
          <w:color w:val="auto"/>
          <w:szCs w:val="22"/>
          <w:u w:val="none"/>
        </w:rPr>
        <w:t xml:space="preserve"> </w:t>
      </w:r>
      <w:hyperlink r:id="rId28" w:history="1">
        <w:r>
          <w:rPr>
            <w:rStyle w:val="Hyperlink"/>
            <w:szCs w:val="22"/>
          </w:rPr>
          <w:t>Irradiation of Persimmons</w:t>
        </w:r>
      </w:hyperlink>
      <w:r w:rsidRPr="00347726">
        <w:rPr>
          <w:rStyle w:val="Hyperlink"/>
          <w:color w:val="auto"/>
          <w:szCs w:val="22"/>
          <w:u w:val="none"/>
        </w:rPr>
        <w:t>. Food Standards Australia New Zealand</w:t>
      </w:r>
      <w:r>
        <w:rPr>
          <w:rStyle w:val="Hyperlink"/>
          <w:color w:val="auto"/>
          <w:szCs w:val="22"/>
          <w:u w:val="none"/>
        </w:rPr>
        <w:t>, Canberra.</w:t>
      </w:r>
    </w:p>
    <w:p w14:paraId="3D1C5278" w14:textId="77777777" w:rsidR="00E73A75" w:rsidRPr="00347726" w:rsidRDefault="00E73A75" w:rsidP="00E73A75">
      <w:pPr>
        <w:pStyle w:val="FootnoteText"/>
        <w:spacing w:before="120" w:after="120"/>
        <w:rPr>
          <w:rStyle w:val="Hyperlink"/>
          <w:color w:val="auto"/>
          <w:sz w:val="22"/>
          <w:szCs w:val="22"/>
          <w:u w:val="none"/>
        </w:rPr>
      </w:pPr>
      <w:r w:rsidRPr="00347726">
        <w:rPr>
          <w:rStyle w:val="Hyperlink"/>
          <w:color w:val="auto"/>
          <w:sz w:val="22"/>
          <w:szCs w:val="22"/>
          <w:u w:val="none"/>
        </w:rPr>
        <w:t>FSANZ (2013) Application A1069</w:t>
      </w:r>
      <w:r>
        <w:rPr>
          <w:rStyle w:val="Hyperlink"/>
          <w:color w:val="auto"/>
          <w:sz w:val="22"/>
          <w:szCs w:val="22"/>
          <w:u w:val="none"/>
        </w:rPr>
        <w:t xml:space="preserve"> </w:t>
      </w:r>
      <w:hyperlink r:id="rId29" w:history="1">
        <w:r>
          <w:rPr>
            <w:rStyle w:val="Hyperlink"/>
            <w:sz w:val="22"/>
            <w:szCs w:val="22"/>
          </w:rPr>
          <w:t>Irradiation of Tomatoes and Capsicums</w:t>
        </w:r>
      </w:hyperlink>
      <w:r w:rsidRPr="00347726">
        <w:rPr>
          <w:rStyle w:val="Hyperlink"/>
          <w:color w:val="auto"/>
          <w:sz w:val="22"/>
          <w:szCs w:val="22"/>
          <w:u w:val="none"/>
        </w:rPr>
        <w:t>. Food Standards Australia New Zealand</w:t>
      </w:r>
      <w:r>
        <w:rPr>
          <w:rStyle w:val="Hyperlink"/>
          <w:color w:val="auto"/>
          <w:sz w:val="22"/>
          <w:szCs w:val="22"/>
          <w:u w:val="none"/>
        </w:rPr>
        <w:t>, Canberra.</w:t>
      </w:r>
    </w:p>
    <w:p w14:paraId="0294983E" w14:textId="77777777" w:rsidR="00E73A75" w:rsidRPr="00347726" w:rsidRDefault="00E73A75" w:rsidP="00E73A75">
      <w:pPr>
        <w:pStyle w:val="FootnoteText"/>
        <w:spacing w:before="120" w:after="120"/>
        <w:rPr>
          <w:rStyle w:val="Hyperlink"/>
          <w:color w:val="auto"/>
          <w:sz w:val="22"/>
          <w:szCs w:val="22"/>
          <w:u w:val="none"/>
        </w:rPr>
      </w:pPr>
      <w:r w:rsidRPr="00347726">
        <w:rPr>
          <w:rStyle w:val="Hyperlink"/>
          <w:color w:val="auto"/>
          <w:sz w:val="22"/>
          <w:szCs w:val="22"/>
          <w:u w:val="none"/>
        </w:rPr>
        <w:t>FSANZ (2014) Application A1092</w:t>
      </w:r>
      <w:r>
        <w:rPr>
          <w:rStyle w:val="Hyperlink"/>
          <w:color w:val="auto"/>
          <w:sz w:val="22"/>
          <w:szCs w:val="22"/>
          <w:u w:val="none"/>
        </w:rPr>
        <w:t xml:space="preserve"> </w:t>
      </w:r>
      <w:hyperlink r:id="rId30" w:history="1">
        <w:r w:rsidRPr="003B4A61">
          <w:rPr>
            <w:rStyle w:val="Hyperlink"/>
            <w:sz w:val="22"/>
            <w:szCs w:val="22"/>
          </w:rPr>
          <w:t>Irradiation of Specific Fruits and Vegetables</w:t>
        </w:r>
      </w:hyperlink>
      <w:r w:rsidRPr="00347726">
        <w:rPr>
          <w:rStyle w:val="Hyperlink"/>
          <w:color w:val="auto"/>
          <w:sz w:val="22"/>
          <w:szCs w:val="22"/>
          <w:u w:val="none"/>
        </w:rPr>
        <w:t>. Food Standards Australia New Zealand</w:t>
      </w:r>
      <w:r>
        <w:rPr>
          <w:rStyle w:val="Hyperlink"/>
          <w:color w:val="auto"/>
          <w:sz w:val="22"/>
          <w:szCs w:val="22"/>
          <w:u w:val="none"/>
        </w:rPr>
        <w:t>, Canberra.</w:t>
      </w:r>
    </w:p>
    <w:p w14:paraId="19A1436A" w14:textId="77777777" w:rsidR="00E73A75" w:rsidRPr="00347726" w:rsidRDefault="00E73A75" w:rsidP="00E73A75">
      <w:pPr>
        <w:spacing w:before="120" w:after="120"/>
        <w:rPr>
          <w:rStyle w:val="Hyperlink"/>
          <w:rFonts w:cs="Arial"/>
          <w:color w:val="auto"/>
          <w:szCs w:val="22"/>
          <w:u w:val="none"/>
        </w:rPr>
      </w:pPr>
      <w:r w:rsidRPr="00347726">
        <w:rPr>
          <w:rStyle w:val="Hyperlink"/>
          <w:rFonts w:cs="Arial"/>
          <w:color w:val="auto"/>
          <w:szCs w:val="22"/>
          <w:u w:val="none"/>
        </w:rPr>
        <w:t>FSANZ (2016) Application A1115</w:t>
      </w:r>
      <w:r>
        <w:rPr>
          <w:rStyle w:val="Hyperlink"/>
          <w:rFonts w:cs="Arial"/>
          <w:color w:val="auto"/>
          <w:szCs w:val="22"/>
          <w:u w:val="none"/>
        </w:rPr>
        <w:t xml:space="preserve"> </w:t>
      </w:r>
      <w:hyperlink r:id="rId31" w:history="1">
        <w:r w:rsidRPr="003B4A61">
          <w:rPr>
            <w:rStyle w:val="Hyperlink"/>
            <w:rFonts w:cs="Arial"/>
            <w:szCs w:val="22"/>
          </w:rPr>
          <w:t>Irradiation of Blueberries and Raspberries</w:t>
        </w:r>
      </w:hyperlink>
      <w:r w:rsidRPr="00347726">
        <w:rPr>
          <w:rStyle w:val="Hyperlink"/>
          <w:rFonts w:cs="Arial"/>
          <w:color w:val="auto"/>
          <w:szCs w:val="22"/>
          <w:u w:val="none"/>
        </w:rPr>
        <w:t xml:space="preserve">. </w:t>
      </w:r>
      <w:r w:rsidRPr="00347726">
        <w:rPr>
          <w:rStyle w:val="Hyperlink"/>
          <w:color w:val="auto"/>
          <w:szCs w:val="22"/>
          <w:u w:val="none"/>
        </w:rPr>
        <w:t>Food Standards Australia New Zealand</w:t>
      </w:r>
      <w:r>
        <w:rPr>
          <w:rStyle w:val="Hyperlink"/>
          <w:color w:val="auto"/>
          <w:szCs w:val="22"/>
          <w:u w:val="none"/>
        </w:rPr>
        <w:t>, Canberra.</w:t>
      </w:r>
    </w:p>
    <w:p w14:paraId="5AA3F886" w14:textId="77777777" w:rsidR="00E73A75" w:rsidRPr="00347726" w:rsidRDefault="00E73A75" w:rsidP="00E73A75">
      <w:pPr>
        <w:spacing w:before="120" w:after="120"/>
        <w:rPr>
          <w:szCs w:val="22"/>
        </w:rPr>
      </w:pPr>
      <w:r>
        <w:rPr>
          <w:rStyle w:val="Hyperlink"/>
          <w:color w:val="auto"/>
          <w:szCs w:val="22"/>
          <w:u w:val="none"/>
        </w:rPr>
        <w:t xml:space="preserve">USFDA 2018 </w:t>
      </w:r>
      <w:hyperlink r:id="rId32" w:history="1">
        <w:r w:rsidRPr="00347726">
          <w:rPr>
            <w:rStyle w:val="Hyperlink"/>
            <w:szCs w:val="22"/>
          </w:rPr>
          <w:t>United States Code of Federal Regulations Title 21</w:t>
        </w:r>
      </w:hyperlink>
      <w:r w:rsidRPr="00347726">
        <w:rPr>
          <w:rStyle w:val="Hyperlink"/>
          <w:szCs w:val="22"/>
        </w:rPr>
        <w:t xml:space="preserve"> </w:t>
      </w:r>
      <w:r w:rsidRPr="00347726">
        <w:rPr>
          <w:rStyle w:val="Hyperlink"/>
          <w:color w:val="auto"/>
          <w:szCs w:val="22"/>
          <w:u w:val="none"/>
        </w:rPr>
        <w:t>Part 179 Irradiation in the Production, Processing and Handling of Food. Accessed 9 April 2019.</w:t>
      </w:r>
    </w:p>
    <w:p w14:paraId="0C120C20" w14:textId="77777777" w:rsidR="0012388D" w:rsidRDefault="00D15A08" w:rsidP="006C22A7">
      <w:pPr>
        <w:spacing w:before="240"/>
        <w:rPr>
          <w:b/>
          <w:sz w:val="28"/>
          <w:szCs w:val="28"/>
        </w:rPr>
      </w:pPr>
      <w:r w:rsidRPr="006C22A7">
        <w:rPr>
          <w:b/>
          <w:sz w:val="28"/>
          <w:szCs w:val="28"/>
        </w:rPr>
        <w:t>A</w:t>
      </w:r>
      <w:bookmarkEnd w:id="121"/>
      <w:bookmarkEnd w:id="122"/>
      <w:bookmarkEnd w:id="123"/>
      <w:bookmarkEnd w:id="124"/>
      <w:bookmarkEnd w:id="125"/>
      <w:r w:rsidR="00B21055">
        <w:rPr>
          <w:b/>
          <w:sz w:val="28"/>
          <w:szCs w:val="28"/>
        </w:rPr>
        <w:t>ttachments</w:t>
      </w:r>
    </w:p>
    <w:p w14:paraId="2B67F22E" w14:textId="77777777" w:rsidR="006C22A7" w:rsidRDefault="006C22A7" w:rsidP="00755F02"/>
    <w:p w14:paraId="4DC29E49" w14:textId="17FFF1D7"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140C2204" w14:textId="55D8CB5A" w:rsidR="00A21B1C" w:rsidRDefault="003C4969" w:rsidP="00A21B1C">
      <w:pPr>
        <w:pStyle w:val="Heading2"/>
        <w:ind w:left="0" w:firstLine="0"/>
      </w:pPr>
      <w:r w:rsidRPr="00932F14">
        <w:br w:type="page"/>
      </w:r>
      <w:bookmarkStart w:id="126" w:name="_Toc29883131"/>
      <w:bookmarkStart w:id="127" w:name="_Toc41906818"/>
      <w:bookmarkStart w:id="128" w:name="_Toc41907565"/>
      <w:bookmarkStart w:id="129" w:name="_Toc120358596"/>
      <w:bookmarkStart w:id="130" w:name="_Toc175381458"/>
      <w:bookmarkStart w:id="131" w:name="_Toc11735644"/>
      <w:bookmarkStart w:id="132" w:name="_Toc19270504"/>
      <w:r w:rsidRPr="00932F14">
        <w:lastRenderedPageBreak/>
        <w:t xml:space="preserve">Attachment </w:t>
      </w:r>
      <w:bookmarkEnd w:id="126"/>
      <w:bookmarkEnd w:id="127"/>
      <w:bookmarkEnd w:id="128"/>
      <w:bookmarkEnd w:id="129"/>
      <w:bookmarkEnd w:id="130"/>
      <w:r w:rsidR="00456B54">
        <w:t>A</w:t>
      </w:r>
      <w:bookmarkStart w:id="133" w:name="_Toc120358597"/>
      <w:bookmarkStart w:id="134" w:name="_Toc175381459"/>
      <w:bookmarkEnd w:id="131"/>
      <w:r w:rsidR="00755F02">
        <w:t xml:space="preserve"> –</w:t>
      </w:r>
      <w:bookmarkStart w:id="135" w:name="_Toc120358598"/>
      <w:bookmarkStart w:id="136" w:name="_Toc175381460"/>
      <w:bookmarkEnd w:id="133"/>
      <w:bookmarkEnd w:id="134"/>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Start w:id="137" w:name="_Toc395087754"/>
      <w:bookmarkStart w:id="138" w:name="_Toc11735637"/>
      <w:bookmarkStart w:id="139" w:name="_Toc29883122"/>
      <w:bookmarkStart w:id="140" w:name="_Toc41906809"/>
      <w:bookmarkStart w:id="141" w:name="_Toc41907556"/>
      <w:bookmarkStart w:id="142" w:name="_Toc120358587"/>
      <w:bookmarkStart w:id="143" w:name="_Toc175381446"/>
      <w:bookmarkStart w:id="144" w:name="_Toc175381454"/>
      <w:bookmarkEnd w:id="132"/>
    </w:p>
    <w:bookmarkEnd w:id="137"/>
    <w:p w14:paraId="3081B192" w14:textId="77777777" w:rsidR="00A21B1C" w:rsidRPr="00C0014E" w:rsidRDefault="00A21B1C" w:rsidP="00A21B1C">
      <w:pPr>
        <w:rPr>
          <w:noProof/>
          <w:sz w:val="20"/>
          <w:lang w:val="en-AU" w:eastAsia="en-AU"/>
        </w:rPr>
      </w:pPr>
      <w:r w:rsidRPr="00C0014E">
        <w:rPr>
          <w:noProof/>
          <w:sz w:val="20"/>
          <w:lang w:eastAsia="en-GB" w:bidi="ar-SA"/>
        </w:rPr>
        <w:drawing>
          <wp:inline distT="0" distB="0" distL="0" distR="0" wp14:anchorId="2988CEE7" wp14:editId="00764EA9">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A85F7C4" w14:textId="77777777" w:rsidR="00A21B1C" w:rsidRPr="006153A1" w:rsidRDefault="00A21B1C" w:rsidP="00A21B1C">
      <w:pPr>
        <w:pBdr>
          <w:bottom w:val="single" w:sz="4" w:space="1" w:color="auto"/>
        </w:pBdr>
        <w:rPr>
          <w:b/>
          <w:bCs/>
        </w:rPr>
      </w:pPr>
    </w:p>
    <w:p w14:paraId="007F1038" w14:textId="77777777" w:rsidR="00A21B1C" w:rsidRDefault="00A21B1C" w:rsidP="00A21B1C">
      <w:pPr>
        <w:pBdr>
          <w:bottom w:val="single" w:sz="4" w:space="1" w:color="auto"/>
        </w:pBdr>
        <w:rPr>
          <w:b/>
          <w:sz w:val="20"/>
        </w:rPr>
      </w:pPr>
      <w:r w:rsidRPr="006153A1">
        <w:rPr>
          <w:b/>
          <w:sz w:val="20"/>
        </w:rPr>
        <w:t>Food Standards (</w:t>
      </w:r>
      <w:r w:rsidRPr="00F618DF">
        <w:rPr>
          <w:b/>
          <w:sz w:val="20"/>
        </w:rPr>
        <w:t>Application A</w:t>
      </w:r>
      <w:r>
        <w:rPr>
          <w:b/>
          <w:sz w:val="20"/>
        </w:rPr>
        <w:t>1163</w:t>
      </w:r>
      <w:r w:rsidRPr="00F618DF">
        <w:rPr>
          <w:b/>
          <w:sz w:val="20"/>
        </w:rPr>
        <w:t xml:space="preserve"> </w:t>
      </w:r>
      <w:r w:rsidRPr="00A32232">
        <w:rPr>
          <w:b/>
          <w:sz w:val="20"/>
        </w:rPr>
        <w:t>–</w:t>
      </w:r>
      <w:r>
        <w:rPr>
          <w:b/>
          <w:sz w:val="20"/>
        </w:rPr>
        <w:t xml:space="preserve"> </w:t>
      </w:r>
      <w:r w:rsidRPr="00595C64">
        <w:rPr>
          <w:b/>
          <w:sz w:val="20"/>
        </w:rPr>
        <w:t>Food Irradiation definition of herbs and spices)</w:t>
      </w:r>
      <w:r w:rsidRPr="00C0014E">
        <w:rPr>
          <w:b/>
          <w:sz w:val="20"/>
        </w:rPr>
        <w:t xml:space="preserve"> Variation</w:t>
      </w:r>
    </w:p>
    <w:p w14:paraId="259DEB1E" w14:textId="77777777" w:rsidR="00A21B1C" w:rsidRPr="00C0014E" w:rsidRDefault="00A21B1C" w:rsidP="00A21B1C">
      <w:pPr>
        <w:pBdr>
          <w:bottom w:val="single" w:sz="4" w:space="1" w:color="auto"/>
        </w:pBdr>
        <w:rPr>
          <w:b/>
          <w:sz w:val="20"/>
        </w:rPr>
      </w:pPr>
    </w:p>
    <w:p w14:paraId="3651AF46" w14:textId="77777777" w:rsidR="00A21B1C" w:rsidRPr="008F2616" w:rsidRDefault="00A21B1C" w:rsidP="00A21B1C">
      <w:pPr>
        <w:rPr>
          <w:sz w:val="20"/>
        </w:rPr>
      </w:pPr>
    </w:p>
    <w:p w14:paraId="76BDD972" w14:textId="77777777" w:rsidR="00A21B1C" w:rsidRPr="008F2616" w:rsidRDefault="00A21B1C" w:rsidP="00A21B1C">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C4BD7CF" w14:textId="77777777" w:rsidR="00A21B1C" w:rsidRPr="008F2616" w:rsidRDefault="00A21B1C" w:rsidP="00A21B1C">
      <w:pPr>
        <w:rPr>
          <w:sz w:val="20"/>
        </w:rPr>
      </w:pPr>
    </w:p>
    <w:p w14:paraId="34A30188" w14:textId="77777777" w:rsidR="00A21B1C" w:rsidRPr="008F2616" w:rsidRDefault="00A21B1C" w:rsidP="00A21B1C">
      <w:pPr>
        <w:rPr>
          <w:sz w:val="20"/>
        </w:rPr>
      </w:pPr>
      <w:r w:rsidRPr="008F2616">
        <w:rPr>
          <w:sz w:val="20"/>
        </w:rPr>
        <w:t xml:space="preserve">Dated </w:t>
      </w:r>
      <w:r>
        <w:rPr>
          <w:sz w:val="20"/>
        </w:rPr>
        <w:t>[To be completed by the Delegate]</w:t>
      </w:r>
    </w:p>
    <w:p w14:paraId="6C7E9672" w14:textId="77777777" w:rsidR="00A21B1C" w:rsidRPr="008F2616" w:rsidRDefault="00A21B1C" w:rsidP="00A21B1C">
      <w:pPr>
        <w:rPr>
          <w:sz w:val="20"/>
        </w:rPr>
      </w:pPr>
    </w:p>
    <w:p w14:paraId="4F5E7DA9" w14:textId="77777777" w:rsidR="00A21B1C" w:rsidRDefault="00A21B1C" w:rsidP="00A21B1C">
      <w:pPr>
        <w:rPr>
          <w:sz w:val="20"/>
        </w:rPr>
      </w:pPr>
    </w:p>
    <w:p w14:paraId="7707AC1C" w14:textId="77777777" w:rsidR="00A21B1C" w:rsidRDefault="00A21B1C" w:rsidP="00A21B1C">
      <w:pPr>
        <w:rPr>
          <w:sz w:val="20"/>
        </w:rPr>
      </w:pPr>
    </w:p>
    <w:p w14:paraId="7C62A7B4" w14:textId="77777777" w:rsidR="00A21B1C" w:rsidRPr="008F2616" w:rsidRDefault="00A21B1C" w:rsidP="00A21B1C">
      <w:pPr>
        <w:rPr>
          <w:sz w:val="20"/>
        </w:rPr>
      </w:pPr>
    </w:p>
    <w:p w14:paraId="6FC89634" w14:textId="77777777" w:rsidR="00A21B1C" w:rsidRPr="008F2616" w:rsidRDefault="00A21B1C" w:rsidP="00A21B1C">
      <w:pPr>
        <w:rPr>
          <w:sz w:val="20"/>
        </w:rPr>
      </w:pPr>
    </w:p>
    <w:p w14:paraId="7D3745CB" w14:textId="77777777" w:rsidR="00A21B1C" w:rsidRPr="008F2616" w:rsidRDefault="00A21B1C" w:rsidP="00A21B1C">
      <w:pPr>
        <w:rPr>
          <w:sz w:val="20"/>
        </w:rPr>
      </w:pPr>
      <w:r>
        <w:rPr>
          <w:sz w:val="20"/>
        </w:rPr>
        <w:t>[Insert Delegate’s details]</w:t>
      </w:r>
    </w:p>
    <w:p w14:paraId="4C7D7528" w14:textId="77777777" w:rsidR="00A21B1C" w:rsidRPr="008F2616" w:rsidRDefault="00A21B1C" w:rsidP="00A21B1C">
      <w:pPr>
        <w:rPr>
          <w:sz w:val="20"/>
        </w:rPr>
      </w:pPr>
      <w:r w:rsidRPr="008F2616">
        <w:rPr>
          <w:sz w:val="20"/>
        </w:rPr>
        <w:t>Delegate of the Board of Food Standards Australia New Zealand</w:t>
      </w:r>
    </w:p>
    <w:p w14:paraId="0404557A" w14:textId="77777777" w:rsidR="00A21B1C" w:rsidRDefault="00A21B1C" w:rsidP="00A21B1C">
      <w:pPr>
        <w:rPr>
          <w:sz w:val="20"/>
        </w:rPr>
      </w:pPr>
    </w:p>
    <w:p w14:paraId="354FE9E9" w14:textId="77777777" w:rsidR="00A21B1C" w:rsidRDefault="00A21B1C" w:rsidP="00A21B1C">
      <w:pPr>
        <w:rPr>
          <w:sz w:val="20"/>
        </w:rPr>
      </w:pPr>
    </w:p>
    <w:p w14:paraId="55CD5926" w14:textId="77777777" w:rsidR="00A21B1C" w:rsidRDefault="00A21B1C" w:rsidP="00A21B1C">
      <w:pPr>
        <w:rPr>
          <w:sz w:val="20"/>
        </w:rPr>
      </w:pPr>
    </w:p>
    <w:p w14:paraId="41E1E7E9" w14:textId="77777777" w:rsidR="00A21B1C" w:rsidRDefault="00A21B1C" w:rsidP="00A21B1C">
      <w:pPr>
        <w:rPr>
          <w:sz w:val="20"/>
        </w:rPr>
      </w:pPr>
    </w:p>
    <w:p w14:paraId="128ABF12" w14:textId="77777777" w:rsidR="00A21B1C" w:rsidRDefault="00A21B1C" w:rsidP="00A21B1C">
      <w:pPr>
        <w:rPr>
          <w:sz w:val="20"/>
        </w:rPr>
      </w:pPr>
    </w:p>
    <w:p w14:paraId="6FD0DED1" w14:textId="77777777" w:rsidR="00A21B1C" w:rsidRPr="00360C8F" w:rsidRDefault="00A21B1C" w:rsidP="00A21B1C">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3B00EA7E" w14:textId="77777777" w:rsidR="00A21B1C" w:rsidRPr="00360C8F" w:rsidRDefault="00A21B1C" w:rsidP="00A21B1C">
      <w:pPr>
        <w:pBdr>
          <w:top w:val="single" w:sz="4" w:space="1" w:color="auto"/>
          <w:left w:val="single" w:sz="4" w:space="4" w:color="auto"/>
          <w:bottom w:val="single" w:sz="4" w:space="1" w:color="auto"/>
          <w:right w:val="single" w:sz="4" w:space="4" w:color="auto"/>
        </w:pBdr>
        <w:rPr>
          <w:sz w:val="20"/>
          <w:lang w:val="en-AU"/>
        </w:rPr>
      </w:pPr>
    </w:p>
    <w:p w14:paraId="2D30B346" w14:textId="77777777" w:rsidR="00A21B1C" w:rsidRPr="00360C8F" w:rsidRDefault="00A21B1C" w:rsidP="00A21B1C">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405A538E" w14:textId="77777777" w:rsidR="00A21B1C" w:rsidRPr="00902423" w:rsidRDefault="00A21B1C" w:rsidP="00A21B1C">
      <w:pPr>
        <w:tabs>
          <w:tab w:val="left" w:pos="851"/>
        </w:tabs>
        <w:rPr>
          <w:sz w:val="20"/>
          <w:szCs w:val="20"/>
          <w:lang w:bidi="ar-SA"/>
        </w:rPr>
      </w:pPr>
    </w:p>
    <w:p w14:paraId="6444413B" w14:textId="77777777" w:rsidR="00A21B1C" w:rsidRPr="00902423" w:rsidRDefault="00A21B1C" w:rsidP="00A21B1C">
      <w:pPr>
        <w:widowControl/>
        <w:rPr>
          <w:sz w:val="20"/>
          <w:szCs w:val="20"/>
          <w:lang w:bidi="ar-SA"/>
        </w:rPr>
      </w:pPr>
      <w:r w:rsidRPr="00902423">
        <w:rPr>
          <w:sz w:val="20"/>
          <w:szCs w:val="20"/>
          <w:lang w:bidi="ar-SA"/>
        </w:rPr>
        <w:br w:type="page"/>
      </w:r>
    </w:p>
    <w:p w14:paraId="29875BB0" w14:textId="77777777" w:rsidR="00A21B1C" w:rsidRPr="005F585D" w:rsidRDefault="00A21B1C" w:rsidP="00A21B1C">
      <w:pPr>
        <w:pStyle w:val="FSCDraftingitemheading"/>
      </w:pPr>
      <w:r w:rsidRPr="00D433B1">
        <w:lastRenderedPageBreak/>
        <w:t>1</w:t>
      </w:r>
      <w:r w:rsidRPr="00D433B1">
        <w:tab/>
        <w:t>Name</w:t>
      </w:r>
    </w:p>
    <w:p w14:paraId="48D52DF4" w14:textId="77777777" w:rsidR="00A21B1C" w:rsidRPr="00F618DF" w:rsidRDefault="00A21B1C" w:rsidP="00A21B1C">
      <w:pPr>
        <w:pStyle w:val="FSCDraftingitem"/>
      </w:pPr>
      <w:r w:rsidRPr="00DB170D">
        <w:t xml:space="preserve">This instrument is the </w:t>
      </w:r>
      <w:r w:rsidRPr="00792F7C">
        <w:rPr>
          <w:i/>
        </w:rPr>
        <w:t>Food Standards (</w:t>
      </w:r>
      <w:r w:rsidRPr="009279C7">
        <w:rPr>
          <w:i/>
        </w:rPr>
        <w:t>Application A1163 – Food Irradiation definition of herbs and spices</w:t>
      </w:r>
      <w:r w:rsidRPr="00792F7C">
        <w:rPr>
          <w:i/>
        </w:rPr>
        <w:t>) Variation</w:t>
      </w:r>
      <w:r w:rsidRPr="00F618DF">
        <w:t>.</w:t>
      </w:r>
    </w:p>
    <w:p w14:paraId="3550BA44" w14:textId="77777777" w:rsidR="00A21B1C" w:rsidRPr="00D433B1" w:rsidRDefault="00A21B1C" w:rsidP="00A21B1C">
      <w:pPr>
        <w:pStyle w:val="FSCDraftingitemheading"/>
      </w:pPr>
      <w:r w:rsidRPr="00D433B1">
        <w:t>2</w:t>
      </w:r>
      <w:r w:rsidRPr="00D433B1">
        <w:tab/>
        <w:t xml:space="preserve">Variation to </w:t>
      </w:r>
      <w:r w:rsidRPr="00A30160">
        <w:t xml:space="preserve">a standard </w:t>
      </w:r>
      <w:r w:rsidRPr="00D433B1">
        <w:t xml:space="preserve">in the </w:t>
      </w:r>
      <w:r w:rsidRPr="00C51355">
        <w:rPr>
          <w:i/>
        </w:rPr>
        <w:t>Australia New Zealand Food Standards Code</w:t>
      </w:r>
    </w:p>
    <w:p w14:paraId="75068742" w14:textId="77777777" w:rsidR="00A21B1C" w:rsidRDefault="00A21B1C" w:rsidP="00A21B1C">
      <w:pPr>
        <w:pStyle w:val="FSCDraftingitem"/>
      </w:pPr>
      <w:r>
        <w:t xml:space="preserve">The Schedule </w:t>
      </w:r>
      <w:r w:rsidRPr="001567D8">
        <w:t>varies a Standard in the</w:t>
      </w:r>
      <w:r>
        <w:t xml:space="preserve"> </w:t>
      </w:r>
      <w:r w:rsidRPr="00792F7C">
        <w:rPr>
          <w:i/>
        </w:rPr>
        <w:t>Australia New Zealand Food Standards Code</w:t>
      </w:r>
      <w:r>
        <w:t>.</w:t>
      </w:r>
    </w:p>
    <w:p w14:paraId="167FF6E6" w14:textId="77777777" w:rsidR="00A21B1C" w:rsidRPr="00D433B1" w:rsidRDefault="00A21B1C" w:rsidP="00A21B1C">
      <w:pPr>
        <w:pStyle w:val="FSCDraftingitemheading"/>
      </w:pPr>
      <w:r w:rsidRPr="00D433B1">
        <w:t>3</w:t>
      </w:r>
      <w:r w:rsidRPr="00D433B1">
        <w:tab/>
        <w:t>Commencement</w:t>
      </w:r>
    </w:p>
    <w:p w14:paraId="462F9C36" w14:textId="77777777" w:rsidR="00A21B1C" w:rsidRDefault="00A21B1C" w:rsidP="00A21B1C">
      <w:pPr>
        <w:pStyle w:val="FSCDraftingitem"/>
      </w:pPr>
      <w:r>
        <w:t>The variation commenc</w:t>
      </w:r>
      <w:r w:rsidRPr="000055C4">
        <w:t>e</w:t>
      </w:r>
      <w:r>
        <w:t>s</w:t>
      </w:r>
      <w:r w:rsidRPr="000055C4">
        <w:t xml:space="preserve"> on</w:t>
      </w:r>
      <w:r>
        <w:t xml:space="preserve"> the date of gazettal.</w:t>
      </w:r>
    </w:p>
    <w:p w14:paraId="2B88A879" w14:textId="77777777" w:rsidR="00A21B1C" w:rsidRPr="00D433B1" w:rsidRDefault="00A21B1C" w:rsidP="00A21B1C">
      <w:pPr>
        <w:jc w:val="center"/>
        <w:rPr>
          <w:b/>
          <w:sz w:val="20"/>
        </w:rPr>
      </w:pPr>
      <w:r w:rsidRPr="00D433B1">
        <w:rPr>
          <w:b/>
          <w:sz w:val="20"/>
        </w:rPr>
        <w:t>Schedule</w:t>
      </w:r>
    </w:p>
    <w:p w14:paraId="34B3F02A" w14:textId="77777777" w:rsidR="00A21B1C" w:rsidRDefault="00A21B1C" w:rsidP="00A21B1C">
      <w:pPr>
        <w:pStyle w:val="FSCDraftingitem"/>
        <w:rPr>
          <w:lang w:bidi="en-US"/>
        </w:rPr>
      </w:pPr>
      <w:r w:rsidRPr="00DA14FC">
        <w:rPr>
          <w:b/>
          <w:lang w:bidi="en-US"/>
        </w:rPr>
        <w:t>[1]</w:t>
      </w:r>
      <w:r w:rsidRPr="00DA14FC">
        <w:rPr>
          <w:b/>
          <w:lang w:bidi="en-US"/>
        </w:rPr>
        <w:tab/>
        <w:t xml:space="preserve">Standard </w:t>
      </w:r>
      <w:r w:rsidRPr="00A30160">
        <w:rPr>
          <w:b/>
          <w:lang w:bidi="en-US"/>
        </w:rPr>
        <w:t xml:space="preserve">1.5.3 </w:t>
      </w:r>
      <w:r w:rsidRPr="00CC2E5B">
        <w:rPr>
          <w:lang w:bidi="en-US"/>
        </w:rPr>
        <w:t>is varied by</w:t>
      </w:r>
      <w:r>
        <w:rPr>
          <w:lang w:bidi="en-US"/>
        </w:rPr>
        <w:t xml:space="preserve"> omitting subsection 1.5.3—4(3) and substituting</w:t>
      </w:r>
    </w:p>
    <w:p w14:paraId="76115CA9" w14:textId="77777777" w:rsidR="00A21B1C" w:rsidRDefault="00A21B1C" w:rsidP="00A21B1C">
      <w:pPr>
        <w:pStyle w:val="FSCDraftingitem"/>
        <w:rPr>
          <w:lang w:bidi="en-US"/>
        </w:rPr>
      </w:pPr>
    </w:p>
    <w:p w14:paraId="131CC4B2" w14:textId="77777777" w:rsidR="00A21B1C" w:rsidRDefault="00A21B1C" w:rsidP="00A21B1C">
      <w:pPr>
        <w:pStyle w:val="FSCDraftingitem"/>
        <w:rPr>
          <w:lang w:bidi="en-US"/>
        </w:rPr>
      </w:pPr>
      <w:r>
        <w:rPr>
          <w:lang w:bidi="en-US"/>
        </w:rPr>
        <w:t>(3)</w:t>
      </w:r>
      <w:r>
        <w:rPr>
          <w:lang w:bidi="en-US"/>
        </w:rPr>
        <w:tab/>
        <w:t>In this section:</w:t>
      </w:r>
    </w:p>
    <w:p w14:paraId="6C75BD5B" w14:textId="189FC22E" w:rsidR="00456BD5" w:rsidRPr="00795D86" w:rsidRDefault="00A21B1C" w:rsidP="00A21B1C">
      <w:pPr>
        <w:pStyle w:val="FSCDraftingitem"/>
        <w:ind w:left="851"/>
      </w:pPr>
      <w:r>
        <w:rPr>
          <w:b/>
          <w:i/>
          <w:lang w:bidi="en-US"/>
        </w:rPr>
        <w:t xml:space="preserve">herbs and spices </w:t>
      </w:r>
      <w:r>
        <w:rPr>
          <w:lang w:bidi="en-US"/>
        </w:rPr>
        <w:t xml:space="preserve">includes (but is not limited to) a herb or a spice </w:t>
      </w:r>
      <w:r w:rsidRPr="001D1563">
        <w:t>described in Schedule</w:t>
      </w:r>
      <w:r>
        <w:t> </w:t>
      </w:r>
      <w:r w:rsidRPr="001D1563">
        <w:t>22</w:t>
      </w:r>
      <w:r>
        <w:rPr>
          <w:lang w:bidi="en-US"/>
        </w:rPr>
        <w:t>.</w:t>
      </w:r>
      <w:bookmarkEnd w:id="138"/>
      <w:bookmarkEnd w:id="139"/>
      <w:bookmarkEnd w:id="140"/>
      <w:bookmarkEnd w:id="141"/>
      <w:bookmarkEnd w:id="142"/>
      <w:bookmarkEnd w:id="143"/>
      <w:bookmarkEnd w:id="144"/>
    </w:p>
    <w:p w14:paraId="7BEE38ED" w14:textId="77777777" w:rsidR="00456BD5" w:rsidRDefault="00456BD5" w:rsidP="00456BD5">
      <w:pPr>
        <w:pStyle w:val="Heading2"/>
        <w:ind w:left="0" w:firstLine="0"/>
      </w:pPr>
      <w:r w:rsidRPr="00932F14">
        <w:br w:type="page"/>
      </w:r>
      <w:bookmarkStart w:id="145" w:name="_Toc19270505"/>
      <w:r w:rsidR="005E06C0" w:rsidRPr="00932F14">
        <w:lastRenderedPageBreak/>
        <w:t xml:space="preserve">Attachment </w:t>
      </w:r>
      <w:r w:rsidR="005E06C0">
        <w:t xml:space="preserve">B – </w:t>
      </w:r>
      <w:r>
        <w:t>Explanatory Statement</w:t>
      </w:r>
      <w:bookmarkEnd w:id="145"/>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D13E34" w:rsidRDefault="00456BD5" w:rsidP="00456BD5">
      <w:pPr>
        <w:widowControl/>
        <w:autoSpaceDE w:val="0"/>
        <w:autoSpaceDN w:val="0"/>
        <w:adjustRightInd w:val="0"/>
        <w:rPr>
          <w:rFonts w:eastAsia="Calibri" w:cs="Arial"/>
          <w:bCs/>
          <w:szCs w:val="22"/>
          <w:lang w:val="en-AU" w:bidi="ar-SA"/>
        </w:rPr>
      </w:pPr>
    </w:p>
    <w:p w14:paraId="72A7E6A1" w14:textId="77777777" w:rsidR="00456BD5" w:rsidRPr="00530438" w:rsidRDefault="00456BD5" w:rsidP="00456BD5">
      <w:pPr>
        <w:widowControl/>
        <w:autoSpaceDE w:val="0"/>
        <w:autoSpaceDN w:val="0"/>
        <w:adjustRightInd w:val="0"/>
        <w:rPr>
          <w:rFonts w:eastAsia="Calibri" w:cs="Arial"/>
          <w:bCs/>
          <w:szCs w:val="22"/>
          <w:lang w:val="en-AU" w:bidi="ar-SA"/>
        </w:rPr>
      </w:pPr>
      <w:r w:rsidRPr="00530438">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47AD6B" w14:textId="77777777" w:rsidR="00456BD5" w:rsidRPr="00530438" w:rsidRDefault="00456BD5" w:rsidP="00456BD5">
      <w:pPr>
        <w:widowControl/>
        <w:autoSpaceDE w:val="0"/>
        <w:autoSpaceDN w:val="0"/>
        <w:adjustRightInd w:val="0"/>
        <w:rPr>
          <w:rFonts w:eastAsia="Calibri" w:cs="Arial"/>
          <w:bCs/>
          <w:szCs w:val="22"/>
          <w:lang w:val="en-AU" w:bidi="ar-SA"/>
        </w:rPr>
      </w:pPr>
    </w:p>
    <w:p w14:paraId="0ED4B053" w14:textId="31C9F820" w:rsidR="00456BD5" w:rsidRPr="00530438" w:rsidRDefault="00456BD5" w:rsidP="00456BD5">
      <w:pPr>
        <w:widowControl/>
        <w:autoSpaceDE w:val="0"/>
        <w:autoSpaceDN w:val="0"/>
        <w:adjustRightInd w:val="0"/>
        <w:rPr>
          <w:rFonts w:eastAsia="Calibri" w:cs="Arial"/>
          <w:bCs/>
          <w:szCs w:val="22"/>
          <w:lang w:val="en-AU" w:bidi="ar-SA"/>
        </w:rPr>
      </w:pPr>
      <w:r w:rsidRPr="00530438">
        <w:rPr>
          <w:rFonts w:eastAsia="Calibri" w:cs="Arial"/>
          <w:bCs/>
          <w:szCs w:val="22"/>
          <w:lang w:val="en-AU" w:bidi="ar-SA"/>
        </w:rPr>
        <w:t>The Authority accepted Application A</w:t>
      </w:r>
      <w:r w:rsidR="00A21B1C" w:rsidRPr="00530438">
        <w:rPr>
          <w:rFonts w:eastAsia="Calibri" w:cs="Arial"/>
          <w:bCs/>
          <w:szCs w:val="22"/>
          <w:lang w:val="en-AU" w:bidi="ar-SA"/>
        </w:rPr>
        <w:t>1163</w:t>
      </w:r>
      <w:r w:rsidRPr="00530438">
        <w:rPr>
          <w:rFonts w:eastAsia="Calibri" w:cs="Arial"/>
          <w:bCs/>
          <w:szCs w:val="22"/>
          <w:lang w:val="en-AU" w:bidi="ar-SA"/>
        </w:rPr>
        <w:t xml:space="preserve"> which </w:t>
      </w:r>
      <w:r w:rsidR="00530438" w:rsidRPr="00530438">
        <w:rPr>
          <w:rFonts w:eastAsia="Calibri" w:cs="Arial"/>
          <w:bCs/>
          <w:szCs w:val="22"/>
          <w:lang w:val="en-AU" w:bidi="ar-SA"/>
        </w:rPr>
        <w:t xml:space="preserve">sought </w:t>
      </w:r>
      <w:r w:rsidR="00620078">
        <w:rPr>
          <w:rFonts w:eastAsia="Calibri" w:cs="Arial"/>
          <w:bCs/>
          <w:szCs w:val="22"/>
          <w:lang w:val="en-AU" w:bidi="ar-SA"/>
        </w:rPr>
        <w:t>to amend</w:t>
      </w:r>
      <w:r w:rsidR="00A21B1C" w:rsidRPr="00530438">
        <w:rPr>
          <w:rFonts w:eastAsia="Calibri" w:cs="Arial"/>
          <w:bCs/>
          <w:szCs w:val="22"/>
          <w:lang w:val="en-AU" w:bidi="ar-SA"/>
        </w:rPr>
        <w:t xml:space="preserve"> </w:t>
      </w:r>
      <w:r w:rsidR="00530438" w:rsidRPr="00530438">
        <w:rPr>
          <w:rFonts w:eastAsia="Calibri" w:cs="Arial"/>
          <w:bCs/>
          <w:szCs w:val="22"/>
          <w:lang w:val="en-AU" w:bidi="ar-SA"/>
        </w:rPr>
        <w:t xml:space="preserve">the definition of </w:t>
      </w:r>
      <w:r w:rsidR="00E8184A">
        <w:rPr>
          <w:rFonts w:eastAsia="Calibri" w:cs="Arial"/>
          <w:bCs/>
          <w:szCs w:val="22"/>
          <w:lang w:val="en-AU" w:bidi="ar-SA"/>
        </w:rPr>
        <w:t>‘</w:t>
      </w:r>
      <w:r w:rsidR="00530438" w:rsidRPr="00530438">
        <w:rPr>
          <w:rFonts w:eastAsia="Calibri" w:cs="Arial"/>
          <w:bCs/>
          <w:szCs w:val="22"/>
          <w:lang w:val="en-AU" w:bidi="ar-SA"/>
        </w:rPr>
        <w:t>herbs and spices</w:t>
      </w:r>
      <w:r w:rsidR="003175EC">
        <w:rPr>
          <w:rFonts w:eastAsia="Calibri" w:cs="Arial"/>
          <w:bCs/>
          <w:szCs w:val="22"/>
          <w:lang w:val="en-AU" w:bidi="ar-SA"/>
        </w:rPr>
        <w:t>’</w:t>
      </w:r>
      <w:r w:rsidR="00530438" w:rsidRPr="00530438">
        <w:rPr>
          <w:rFonts w:eastAsia="Calibri" w:cs="Arial"/>
          <w:bCs/>
          <w:szCs w:val="22"/>
          <w:lang w:val="en-AU" w:bidi="ar-SA"/>
        </w:rPr>
        <w:t xml:space="preserve"> in </w:t>
      </w:r>
      <w:r w:rsidR="00530438" w:rsidRPr="00530438">
        <w:rPr>
          <w:rFonts w:eastAsia="Calibri" w:cs="Arial"/>
          <w:bCs/>
          <w:szCs w:val="22"/>
          <w:lang w:bidi="ar-SA"/>
        </w:rPr>
        <w:t>subsection 1</w:t>
      </w:r>
      <w:r w:rsidR="00530438" w:rsidRPr="00530438">
        <w:t xml:space="preserve">.5.3—4(3) </w:t>
      </w:r>
      <w:r w:rsidR="00530438" w:rsidRPr="00530438">
        <w:rPr>
          <w:rFonts w:eastAsia="Calibri" w:cs="Arial"/>
          <w:bCs/>
          <w:szCs w:val="22"/>
          <w:lang w:bidi="ar-SA"/>
        </w:rPr>
        <w:t>of the</w:t>
      </w:r>
      <w:r w:rsidR="00530438" w:rsidRPr="00530438">
        <w:rPr>
          <w:lang w:bidi="ar-SA"/>
        </w:rPr>
        <w:t xml:space="preserve"> Code</w:t>
      </w:r>
      <w:r w:rsidRPr="00530438">
        <w:rPr>
          <w:rFonts w:eastAsia="Calibri" w:cs="Arial"/>
          <w:bCs/>
          <w:szCs w:val="22"/>
          <w:lang w:val="en-AU" w:bidi="ar-SA"/>
        </w:rPr>
        <w:t xml:space="preserve">. The Authority considered the Application in accordance with Division 1 of Part 3 and has approved a draft </w:t>
      </w:r>
      <w:r w:rsidR="00530438" w:rsidRPr="00530438">
        <w:rPr>
          <w:rFonts w:eastAsia="Calibri" w:cs="Arial"/>
          <w:bCs/>
          <w:szCs w:val="22"/>
          <w:lang w:val="en-AU" w:bidi="ar-SA"/>
        </w:rPr>
        <w:t>variation</w:t>
      </w:r>
      <w:r w:rsidRPr="00530438">
        <w:rPr>
          <w:rFonts w:eastAsia="Calibri" w:cs="Arial"/>
          <w:bCs/>
          <w:szCs w:val="22"/>
          <w:lang w:val="en-AU" w:bidi="ar-SA"/>
        </w:rPr>
        <w:t xml:space="preserve">. </w:t>
      </w:r>
    </w:p>
    <w:p w14:paraId="107D1A73" w14:textId="77777777" w:rsidR="00456BD5" w:rsidRDefault="00456BD5" w:rsidP="00456BD5">
      <w:pPr>
        <w:widowControl/>
        <w:autoSpaceDE w:val="0"/>
        <w:autoSpaceDN w:val="0"/>
        <w:adjustRightInd w:val="0"/>
        <w:rPr>
          <w:rFonts w:eastAsia="Calibri" w:cs="Arial"/>
          <w:bCs/>
          <w:color w:val="FF0000"/>
          <w:szCs w:val="22"/>
          <w:lang w:val="en-AU" w:bidi="ar-SA"/>
        </w:rPr>
      </w:pPr>
    </w:p>
    <w:p w14:paraId="27021107"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595D5501"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2139179C" w14:textId="5688E17B" w:rsidR="00530438" w:rsidRDefault="00456BD5" w:rsidP="00530438">
      <w:pPr>
        <w:rPr>
          <w:lang w:val="en-AU" w:eastAsia="en-GB" w:bidi="ar-SA"/>
        </w:rPr>
      </w:pPr>
      <w:r>
        <w:rPr>
          <w:lang w:val="en-AU" w:eastAsia="en-GB" w:bidi="ar-SA"/>
        </w:rPr>
        <w:t xml:space="preserve">The Authority has approved </w:t>
      </w:r>
      <w:r w:rsidR="00530438">
        <w:rPr>
          <w:lang w:val="en-AU" w:eastAsia="en-GB" w:bidi="ar-SA"/>
        </w:rPr>
        <w:t xml:space="preserve">a draft variation </w:t>
      </w:r>
      <w:r w:rsidR="00530438" w:rsidRPr="00AC4A25">
        <w:rPr>
          <w:lang w:val="en-AU" w:eastAsia="en-GB" w:bidi="ar-SA"/>
        </w:rPr>
        <w:t xml:space="preserve">to </w:t>
      </w:r>
      <w:r w:rsidR="00530438">
        <w:rPr>
          <w:lang w:val="en-AU" w:eastAsia="en-GB" w:bidi="ar-SA"/>
        </w:rPr>
        <w:t xml:space="preserve">amend </w:t>
      </w:r>
      <w:r w:rsidR="00530438">
        <w:rPr>
          <w:rFonts w:eastAsia="Calibri" w:cs="Arial"/>
          <w:bCs/>
          <w:szCs w:val="22"/>
          <w:lang w:bidi="ar-SA"/>
        </w:rPr>
        <w:t>subsection 1</w:t>
      </w:r>
      <w:r w:rsidR="00530438">
        <w:t xml:space="preserve">.5.3—4(3) of the Code to </w:t>
      </w:r>
      <w:r w:rsidR="00530438" w:rsidRPr="00AC4A25">
        <w:rPr>
          <w:lang w:val="en-AU" w:eastAsia="en-GB" w:bidi="ar-SA"/>
        </w:rPr>
        <w:t xml:space="preserve">clarify the meaning of the terms </w:t>
      </w:r>
      <w:r w:rsidR="006865F3">
        <w:rPr>
          <w:lang w:val="en-AU" w:eastAsia="en-GB" w:bidi="ar-SA"/>
        </w:rPr>
        <w:t>‘</w:t>
      </w:r>
      <w:r w:rsidR="00530438" w:rsidRPr="00AC4A25">
        <w:rPr>
          <w:lang w:val="en-AU" w:eastAsia="en-GB" w:bidi="ar-SA"/>
        </w:rPr>
        <w:t>herbs</w:t>
      </w:r>
      <w:r w:rsidR="006865F3">
        <w:rPr>
          <w:lang w:val="en-AU" w:eastAsia="en-GB" w:bidi="ar-SA"/>
        </w:rPr>
        <w:t>’</w:t>
      </w:r>
      <w:r w:rsidR="00530438" w:rsidRPr="00AC4A25">
        <w:rPr>
          <w:lang w:val="en-AU" w:eastAsia="en-GB" w:bidi="ar-SA"/>
        </w:rPr>
        <w:t xml:space="preserve"> and </w:t>
      </w:r>
      <w:r w:rsidR="006865F3">
        <w:rPr>
          <w:lang w:val="en-AU" w:eastAsia="en-GB" w:bidi="ar-SA"/>
        </w:rPr>
        <w:t>‘</w:t>
      </w:r>
      <w:r w:rsidR="00530438" w:rsidRPr="00AC4A25">
        <w:rPr>
          <w:lang w:val="en-AU" w:eastAsia="en-GB" w:bidi="ar-SA"/>
        </w:rPr>
        <w:t>spices</w:t>
      </w:r>
      <w:r w:rsidR="006865F3">
        <w:rPr>
          <w:lang w:val="en-AU" w:eastAsia="en-GB" w:bidi="ar-SA"/>
        </w:rPr>
        <w:t>’</w:t>
      </w:r>
      <w:r w:rsidR="00530438">
        <w:rPr>
          <w:lang w:val="en-AU" w:eastAsia="en-GB" w:bidi="ar-SA"/>
        </w:rPr>
        <w:t xml:space="preserve"> for the purposes of food irradiation and</w:t>
      </w:r>
      <w:r w:rsidR="00530438" w:rsidRPr="00AC4A25">
        <w:rPr>
          <w:lang w:val="en-AU" w:eastAsia="en-GB" w:bidi="ar-SA"/>
        </w:rPr>
        <w:t xml:space="preserve"> to ensure consistent interpretation and enforcement.</w:t>
      </w:r>
    </w:p>
    <w:p w14:paraId="2FB09A25" w14:textId="2289F2EC" w:rsidR="00456BD5" w:rsidRDefault="00456BD5"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610A1C11" w:rsidR="00456BD5" w:rsidRPr="00D13E34" w:rsidRDefault="00530438" w:rsidP="00456BD5">
      <w:pPr>
        <w:widowControl/>
        <w:autoSpaceDE w:val="0"/>
        <w:autoSpaceDN w:val="0"/>
        <w:adjustRightInd w:val="0"/>
        <w:rPr>
          <w:rFonts w:eastAsia="Calibri" w:cs="Arial"/>
          <w:bCs/>
          <w:szCs w:val="22"/>
          <w:lang w:val="en-AU" w:bidi="ar-SA"/>
        </w:rPr>
      </w:pPr>
      <w:r>
        <w:rPr>
          <w:rFonts w:eastAsia="Calibri" w:cs="Arial"/>
          <w:bCs/>
          <w:szCs w:val="22"/>
          <w:lang w:val="en-AU" w:bidi="ar-SA"/>
        </w:rPr>
        <w:t>The variation</w:t>
      </w:r>
      <w:r w:rsidR="00456BD5" w:rsidRPr="00D13E34">
        <w:rPr>
          <w:rFonts w:eastAsia="Calibri" w:cs="Arial"/>
          <w:bCs/>
          <w:szCs w:val="22"/>
          <w:lang w:val="en-AU" w:bidi="ar-SA"/>
        </w:rPr>
        <w:t xml:space="preserve"> to </w:t>
      </w:r>
      <w:r>
        <w:rPr>
          <w:rFonts w:eastAsia="Calibri" w:cs="Arial"/>
          <w:bCs/>
          <w:szCs w:val="22"/>
          <w:lang w:val="en-AU" w:bidi="ar-SA"/>
        </w:rPr>
        <w:t xml:space="preserve">a </w:t>
      </w:r>
      <w:r w:rsidR="00456BD5" w:rsidRPr="00D13E34">
        <w:rPr>
          <w:rFonts w:eastAsia="Calibri" w:cs="Arial"/>
          <w:bCs/>
          <w:szCs w:val="22"/>
          <w:lang w:val="en-AU" w:bidi="ar-SA"/>
        </w:rPr>
        <w:t>food regulatory measures do</w:t>
      </w:r>
      <w:r>
        <w:rPr>
          <w:rFonts w:eastAsia="Calibri" w:cs="Arial"/>
          <w:bCs/>
          <w:szCs w:val="22"/>
          <w:lang w:val="en-AU" w:bidi="ar-SA"/>
        </w:rPr>
        <w:t>es</w:t>
      </w:r>
      <w:r w:rsidR="00456BD5" w:rsidRPr="00D13E34">
        <w:rPr>
          <w:rFonts w:eastAsia="Calibri" w:cs="Arial"/>
          <w:bCs/>
          <w:szCs w:val="22"/>
          <w:lang w:val="en-AU" w:bidi="ar-SA"/>
        </w:rPr>
        <w:t xml:space="preserve"> not incorporate any documents by reference.</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77777777" w:rsidR="00456BD5" w:rsidRDefault="00456BD5" w:rsidP="00456BD5">
      <w:pPr>
        <w:rPr>
          <w:lang w:val="en-AU" w:eastAsia="en-GB" w:bidi="ar-SA"/>
        </w:rPr>
      </w:pPr>
    </w:p>
    <w:p w14:paraId="00E316ED" w14:textId="5F300875" w:rsidR="00456BD5" w:rsidRPr="00B30A65" w:rsidRDefault="00456BD5" w:rsidP="00456BD5">
      <w:pPr>
        <w:rPr>
          <w:lang w:val="en-AU"/>
        </w:rPr>
      </w:pPr>
      <w:r w:rsidRPr="00B30A65">
        <w:rPr>
          <w:szCs w:val="22"/>
        </w:rPr>
        <w:t xml:space="preserve">In accordance with the procedure in Division </w:t>
      </w:r>
      <w:r w:rsidR="00530438" w:rsidRPr="00B30A65">
        <w:rPr>
          <w:szCs w:val="22"/>
        </w:rPr>
        <w:t>1</w:t>
      </w:r>
      <w:r w:rsidRPr="00B30A65">
        <w:rPr>
          <w:szCs w:val="22"/>
        </w:rPr>
        <w:t xml:space="preserve"> of Part </w:t>
      </w:r>
      <w:r w:rsidR="00530438" w:rsidRPr="00B30A65">
        <w:rPr>
          <w:szCs w:val="22"/>
        </w:rPr>
        <w:t>3</w:t>
      </w:r>
      <w:r w:rsidRPr="00B30A65">
        <w:rPr>
          <w:szCs w:val="22"/>
        </w:rPr>
        <w:t xml:space="preserve"> of the FSANZ Act, </w:t>
      </w:r>
      <w:r w:rsidRPr="00B30A65">
        <w:rPr>
          <w:rFonts w:eastAsia="Calibri" w:cs="Arial"/>
          <w:bCs/>
          <w:szCs w:val="22"/>
          <w:lang w:val="en-AU" w:bidi="ar-SA"/>
        </w:rPr>
        <w:t>the Authority</w:t>
      </w:r>
      <w:r w:rsidRPr="00B30A65">
        <w:rPr>
          <w:szCs w:val="22"/>
        </w:rPr>
        <w:t>’s consideration of Application</w:t>
      </w:r>
      <w:r w:rsidR="00530438" w:rsidRPr="00B30A65">
        <w:rPr>
          <w:szCs w:val="22"/>
        </w:rPr>
        <w:t xml:space="preserve"> A1163</w:t>
      </w:r>
      <w:r w:rsidRPr="00B30A65">
        <w:rPr>
          <w:szCs w:val="22"/>
        </w:rPr>
        <w:t xml:space="preserve"> included one round of public consultation following an assessment</w:t>
      </w:r>
      <w:r w:rsidR="006865F3">
        <w:rPr>
          <w:szCs w:val="22"/>
        </w:rPr>
        <w:t>;</w:t>
      </w:r>
      <w:r w:rsidRPr="00B30A65">
        <w:rPr>
          <w:szCs w:val="22"/>
        </w:rPr>
        <w:t xml:space="preserve"> and the preparation of a draft </w:t>
      </w:r>
      <w:r w:rsidR="00530438" w:rsidRPr="00B30A65">
        <w:rPr>
          <w:szCs w:val="22"/>
        </w:rPr>
        <w:t>variation</w:t>
      </w:r>
      <w:r w:rsidR="00B30A65" w:rsidRPr="00B30A65">
        <w:rPr>
          <w:szCs w:val="22"/>
        </w:rPr>
        <w:t xml:space="preserve"> and associated assessment summary</w:t>
      </w:r>
      <w:r w:rsidR="00530438" w:rsidRPr="00B30A65">
        <w:rPr>
          <w:szCs w:val="22"/>
        </w:rPr>
        <w:t>.</w:t>
      </w:r>
      <w:r w:rsidRPr="00B30A65">
        <w:rPr>
          <w:szCs w:val="22"/>
        </w:rPr>
        <w:t xml:space="preserve"> Submissions were called for on </w:t>
      </w:r>
      <w:r w:rsidR="00530438" w:rsidRPr="00B30A65">
        <w:rPr>
          <w:szCs w:val="22"/>
        </w:rPr>
        <w:t xml:space="preserve">6 June 2019 </w:t>
      </w:r>
      <w:r w:rsidRPr="00B30A65">
        <w:rPr>
          <w:szCs w:val="22"/>
        </w:rPr>
        <w:t xml:space="preserve">for a six-week consultation period. </w:t>
      </w:r>
    </w:p>
    <w:p w14:paraId="662A67C8" w14:textId="77777777" w:rsidR="00456BD5" w:rsidRPr="00EC66BB" w:rsidRDefault="00456BD5" w:rsidP="00456BD5">
      <w:pPr>
        <w:rPr>
          <w:rFonts w:eastAsia="Calibri"/>
          <w:color w:val="FF0000"/>
          <w:szCs w:val="22"/>
          <w:lang w:val="en-AU" w:bidi="ar-SA"/>
        </w:rPr>
      </w:pPr>
    </w:p>
    <w:p w14:paraId="0693F7E6" w14:textId="77777777" w:rsidR="00530438" w:rsidRPr="001967B8" w:rsidRDefault="00530438" w:rsidP="00530438">
      <w:pPr>
        <w:widowControl/>
        <w:autoSpaceDE w:val="0"/>
        <w:autoSpaceDN w:val="0"/>
        <w:adjustRightInd w:val="0"/>
        <w:rPr>
          <w:rFonts w:cs="Arial"/>
          <w:szCs w:val="22"/>
        </w:rPr>
      </w:pPr>
      <w:r w:rsidRPr="001967B8">
        <w:rPr>
          <w:rFonts w:eastAsia="Calibri" w:cs="Arial"/>
          <w:bCs/>
          <w:szCs w:val="22"/>
          <w:lang w:bidi="ar-SA"/>
        </w:rPr>
        <w:t xml:space="preserve">A Regulation Impact Statement (RIS) was not required because the proposed variation to Standard 1.5.3 </w:t>
      </w:r>
      <w:r w:rsidRPr="001967B8">
        <w:t xml:space="preserve">is likely to have a minor impact on business and individuals and is deemed to be </w:t>
      </w:r>
      <w:r>
        <w:t xml:space="preserve">deregulatory in nature (see </w:t>
      </w:r>
      <w:r w:rsidRPr="006C100E">
        <w:rPr>
          <w:rFonts w:cs="Arial"/>
        </w:rPr>
        <w:t>OBPR reference number:</w:t>
      </w:r>
      <w:r>
        <w:rPr>
          <w:rFonts w:cs="Arial"/>
        </w:rPr>
        <w:t xml:space="preserve"> </w:t>
      </w:r>
      <w:r w:rsidRPr="00892076">
        <w:rPr>
          <w:rFonts w:cs="Arial"/>
        </w:rPr>
        <w:t>25085</w:t>
      </w:r>
      <w:r>
        <w:rPr>
          <w:rFonts w:cs="Arial"/>
        </w:rPr>
        <w:t>)</w:t>
      </w:r>
      <w:r>
        <w:t>.</w:t>
      </w:r>
    </w:p>
    <w:p w14:paraId="3711262A" w14:textId="77777777" w:rsidR="00456BD5" w:rsidRDefault="00456BD5" w:rsidP="00456BD5">
      <w:pPr>
        <w:rPr>
          <w:color w:val="FF0000"/>
          <w:lang w:val="en-AU" w:eastAsia="en-GB" w:bidi="ar-SA"/>
        </w:rPr>
      </w:pPr>
    </w:p>
    <w:p w14:paraId="27F1F1C0"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2E6732CF"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814EE10" w14:textId="77777777" w:rsidR="00A71D29" w:rsidRDefault="00A71D29" w:rsidP="00456BD5">
      <w:pPr>
        <w:rPr>
          <w:rFonts w:eastAsiaTheme="minorHAnsi"/>
          <w:lang w:val="en-AU" w:bidi="ar-SA"/>
        </w:rPr>
      </w:pP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03B36AA7" w14:textId="77777777" w:rsidR="00456BD5" w:rsidRPr="00432A42" w:rsidRDefault="00456BD5" w:rsidP="00456BD5">
      <w:pPr>
        <w:rPr>
          <w:b/>
        </w:rPr>
      </w:pPr>
    </w:p>
    <w:p w14:paraId="2EF1B6CD" w14:textId="221062FD" w:rsidR="004501C8" w:rsidRDefault="00530438" w:rsidP="00B920D2">
      <w:r w:rsidRPr="00A25766">
        <w:rPr>
          <w:lang w:eastAsia="en-GB" w:bidi="ar-SA"/>
        </w:rPr>
        <w:t>Item [1] amends Standard 1.5.3</w:t>
      </w:r>
      <w:r>
        <w:rPr>
          <w:lang w:eastAsia="en-GB" w:bidi="ar-SA"/>
        </w:rPr>
        <w:t xml:space="preserve"> by omitting </w:t>
      </w:r>
      <w:r>
        <w:rPr>
          <w:rFonts w:eastAsia="Calibri" w:cs="Arial"/>
          <w:bCs/>
          <w:szCs w:val="22"/>
          <w:lang w:bidi="ar-SA"/>
        </w:rPr>
        <w:t>subsection 1</w:t>
      </w:r>
      <w:r>
        <w:t xml:space="preserve">.5.3—4(3) and substituting a new subsection </w:t>
      </w:r>
      <w:r>
        <w:rPr>
          <w:rFonts w:eastAsia="Calibri" w:cs="Arial"/>
          <w:bCs/>
          <w:szCs w:val="22"/>
          <w:lang w:bidi="ar-SA"/>
        </w:rPr>
        <w:t>1</w:t>
      </w:r>
      <w:r>
        <w:t xml:space="preserve">.5.3—4(3). The new subsection will provide that, in section </w:t>
      </w:r>
      <w:r>
        <w:rPr>
          <w:rFonts w:eastAsia="Calibri" w:cs="Arial"/>
          <w:bCs/>
          <w:szCs w:val="22"/>
          <w:lang w:bidi="ar-SA"/>
        </w:rPr>
        <w:t>1</w:t>
      </w:r>
      <w:r>
        <w:t xml:space="preserve">.5.3—4, </w:t>
      </w:r>
      <w:r w:rsidR="0056723E">
        <w:t>the term</w:t>
      </w:r>
      <w:r w:rsidRPr="00416B2D">
        <w:t xml:space="preserve"> </w:t>
      </w:r>
      <w:r w:rsidR="0056723E">
        <w:t>‘</w:t>
      </w:r>
      <w:r w:rsidRPr="00416B2D">
        <w:t>herbs and spices</w:t>
      </w:r>
      <w:r w:rsidR="0056723E">
        <w:t>’</w:t>
      </w:r>
      <w:r w:rsidRPr="00416B2D">
        <w:t xml:space="preserve"> includes (but is not limited to) a herb or a spice described in Schedule 22. </w:t>
      </w:r>
    </w:p>
    <w:p w14:paraId="69B253EE" w14:textId="77777777" w:rsidR="00B920D2" w:rsidRDefault="00B920D2" w:rsidP="00B920D2"/>
    <w:p w14:paraId="346ADACD" w14:textId="27F55FC1" w:rsidR="0012388D" w:rsidRPr="00637369" w:rsidRDefault="004501C8" w:rsidP="00B920D2">
      <w:pPr>
        <w:rPr>
          <w:rFonts w:cs="Arial"/>
        </w:rPr>
      </w:pPr>
      <w:r>
        <w:rPr>
          <w:lang w:eastAsia="en-GB" w:bidi="ar-SA"/>
        </w:rPr>
        <w:t>This is an</w:t>
      </w:r>
      <w:r w:rsidR="00530438" w:rsidRPr="00416B2D">
        <w:rPr>
          <w:lang w:eastAsia="en-GB" w:bidi="ar-SA"/>
        </w:rPr>
        <w:t xml:space="preserve"> inclusive definition</w:t>
      </w:r>
      <w:r>
        <w:rPr>
          <w:lang w:eastAsia="en-GB" w:bidi="ar-SA"/>
        </w:rPr>
        <w:t xml:space="preserve">. Its effect will be that the </w:t>
      </w:r>
      <w:r w:rsidR="00530438" w:rsidRPr="003F1388">
        <w:rPr>
          <w:lang w:eastAsia="en-GB" w:bidi="ar-SA"/>
        </w:rPr>
        <w:t xml:space="preserve">terms ‘herb’ and ‘spice’ </w:t>
      </w:r>
      <w:r w:rsidR="004B0F62">
        <w:t xml:space="preserve">in section </w:t>
      </w:r>
      <w:r w:rsidR="004B0F62">
        <w:rPr>
          <w:rFonts w:eastAsia="Calibri" w:cs="Arial"/>
          <w:bCs/>
          <w:szCs w:val="22"/>
          <w:lang w:bidi="ar-SA"/>
        </w:rPr>
        <w:t>1</w:t>
      </w:r>
      <w:r w:rsidR="004B0F62">
        <w:t xml:space="preserve">.5.3—4 </w:t>
      </w:r>
      <w:r w:rsidR="00530438">
        <w:rPr>
          <w:rFonts w:cs="Arial"/>
          <w:lang w:val="en-AU"/>
        </w:rPr>
        <w:t xml:space="preserve">include </w:t>
      </w:r>
      <w:r w:rsidR="00530438" w:rsidRPr="00416B2D">
        <w:t xml:space="preserve">(but </w:t>
      </w:r>
      <w:r w:rsidR="00530438">
        <w:t>are not limited to)</w:t>
      </w:r>
      <w:r>
        <w:rPr>
          <w:lang w:eastAsia="en-GB" w:bidi="ar-SA"/>
        </w:rPr>
        <w:t xml:space="preserve">: </w:t>
      </w:r>
      <w:r w:rsidR="00530438">
        <w:rPr>
          <w:lang w:eastAsia="en-GB" w:bidi="ar-SA"/>
        </w:rPr>
        <w:t xml:space="preserve">plant material that </w:t>
      </w:r>
      <w:r w:rsidR="00530438" w:rsidRPr="0081635A">
        <w:rPr>
          <w:lang w:eastAsia="en-AU" w:bidi="ar-SA"/>
        </w:rPr>
        <w:t>meets the general description of a ‘herb’ or ‘spice’ in Schedule 22; and/o</w:t>
      </w:r>
      <w:r w:rsidR="00530438">
        <w:rPr>
          <w:lang w:eastAsia="en-AU" w:bidi="ar-SA"/>
        </w:rPr>
        <w:t>r</w:t>
      </w:r>
      <w:r>
        <w:rPr>
          <w:lang w:eastAsia="en-AU" w:bidi="ar-SA"/>
        </w:rPr>
        <w:t xml:space="preserve"> </w:t>
      </w:r>
      <w:r w:rsidR="004B0F62">
        <w:rPr>
          <w:lang w:eastAsia="en-AU" w:bidi="ar-SA"/>
        </w:rPr>
        <w:t xml:space="preserve">plant material </w:t>
      </w:r>
      <w:r w:rsidR="00256534">
        <w:rPr>
          <w:lang w:eastAsia="en-AU" w:bidi="ar-SA"/>
        </w:rPr>
        <w:t xml:space="preserve">that </w:t>
      </w:r>
      <w:r w:rsidR="004B0F62">
        <w:rPr>
          <w:lang w:eastAsia="en-AU" w:bidi="ar-SA"/>
        </w:rPr>
        <w:t xml:space="preserve">is </w:t>
      </w:r>
      <w:r>
        <w:rPr>
          <w:lang w:eastAsia="en-AU" w:bidi="ar-SA"/>
        </w:rPr>
        <w:t>listed in the</w:t>
      </w:r>
      <w:r w:rsidR="00530438" w:rsidRPr="003F1388">
        <w:rPr>
          <w:lang w:eastAsia="en-AU" w:bidi="ar-SA"/>
        </w:rPr>
        <w:t xml:space="preserve"> list of commodities provided in Schedule 22 for ‘herbs and spices’</w:t>
      </w:r>
      <w:r>
        <w:rPr>
          <w:rFonts w:cs="Arial"/>
        </w:rPr>
        <w:t xml:space="preserve">. The definition’s </w:t>
      </w:r>
      <w:r>
        <w:rPr>
          <w:lang w:eastAsia="en-GB" w:bidi="ar-SA"/>
        </w:rPr>
        <w:t>phrase ‘</w:t>
      </w:r>
      <w:r>
        <w:rPr>
          <w:rFonts w:cs="Arial"/>
          <w:lang w:val="en-AU"/>
        </w:rPr>
        <w:t>include</w:t>
      </w:r>
      <w:r w:rsidR="00256534">
        <w:rPr>
          <w:rFonts w:cs="Arial"/>
          <w:lang w:val="en-AU"/>
        </w:rPr>
        <w:t>s</w:t>
      </w:r>
      <w:r>
        <w:rPr>
          <w:rFonts w:cs="Arial"/>
          <w:lang w:val="en-AU"/>
        </w:rPr>
        <w:t xml:space="preserve"> </w:t>
      </w:r>
      <w:r w:rsidRPr="00416B2D">
        <w:t xml:space="preserve">(but </w:t>
      </w:r>
      <w:r w:rsidR="00256534">
        <w:t>is</w:t>
      </w:r>
      <w:r>
        <w:t xml:space="preserve"> not limited to</w:t>
      </w:r>
      <w:r>
        <w:rPr>
          <w:lang w:eastAsia="en-GB" w:bidi="ar-SA"/>
        </w:rPr>
        <w:t>)</w:t>
      </w:r>
      <w:r w:rsidR="00256534">
        <w:rPr>
          <w:lang w:eastAsia="en-GB" w:bidi="ar-SA"/>
        </w:rPr>
        <w:t>’</w:t>
      </w:r>
      <w:r>
        <w:rPr>
          <w:lang w:eastAsia="en-GB" w:bidi="ar-SA"/>
        </w:rPr>
        <w:t xml:space="preserve"> makes clear that a </w:t>
      </w:r>
      <w:r w:rsidRPr="003F1388">
        <w:rPr>
          <w:lang w:eastAsia="en-GB" w:bidi="ar-SA"/>
        </w:rPr>
        <w:t xml:space="preserve">‘herb’ and ‘spice’ </w:t>
      </w:r>
      <w:r w:rsidR="00E8184A">
        <w:t xml:space="preserve">for the purposes of </w:t>
      </w:r>
      <w:r>
        <w:t xml:space="preserve">section </w:t>
      </w:r>
      <w:r>
        <w:rPr>
          <w:rFonts w:eastAsia="Calibri" w:cs="Arial"/>
          <w:bCs/>
          <w:szCs w:val="22"/>
          <w:lang w:bidi="ar-SA"/>
        </w:rPr>
        <w:t>1</w:t>
      </w:r>
      <w:r>
        <w:t xml:space="preserve">.5.3—4 also includes </w:t>
      </w:r>
      <w:r w:rsidRPr="001C0CCC">
        <w:t xml:space="preserve">any </w:t>
      </w:r>
      <w:r w:rsidRPr="00637369">
        <w:rPr>
          <w:rFonts w:cs="Arial"/>
          <w:szCs w:val="22"/>
          <w:lang w:eastAsia="en-GB" w:bidi="he-IL"/>
        </w:rPr>
        <w:t xml:space="preserve">plant derived material </w:t>
      </w:r>
      <w:r>
        <w:rPr>
          <w:rFonts w:cs="Arial"/>
          <w:szCs w:val="22"/>
          <w:lang w:eastAsia="en-GB" w:bidi="he-IL"/>
        </w:rPr>
        <w:t xml:space="preserve">that is not covered by the latter description or list but which falls </w:t>
      </w:r>
      <w:r w:rsidRPr="00637369">
        <w:rPr>
          <w:rFonts w:cs="Arial"/>
          <w:lang w:val="en-AU"/>
        </w:rPr>
        <w:t>within the commonly accepted and ordinary meaning of ‘herb’ or ‘spice’</w:t>
      </w:r>
      <w:r>
        <w:rPr>
          <w:rFonts w:cs="Arial"/>
          <w:lang w:val="en-AU"/>
        </w:rPr>
        <w:t>.</w:t>
      </w:r>
      <w:bookmarkEnd w:id="135"/>
      <w:bookmarkEnd w:id="136"/>
    </w:p>
    <w:sectPr w:rsidR="0012388D" w:rsidRPr="00637369"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F60F1" w14:textId="77777777" w:rsidR="00DC76EF" w:rsidRDefault="00DC76EF">
      <w:r>
        <w:separator/>
      </w:r>
    </w:p>
    <w:p w14:paraId="7C26E0D4" w14:textId="77777777" w:rsidR="00DC76EF" w:rsidRDefault="00DC76EF"/>
  </w:endnote>
  <w:endnote w:type="continuationSeparator" w:id="0">
    <w:p w14:paraId="6B9F7C8E" w14:textId="77777777" w:rsidR="00DC76EF" w:rsidRDefault="00DC76EF">
      <w:r>
        <w:continuationSeparator/>
      </w:r>
    </w:p>
    <w:p w14:paraId="607A53F0" w14:textId="77777777" w:rsidR="00DC76EF" w:rsidRDefault="00DC76EF"/>
  </w:endnote>
  <w:endnote w:type="continuationNotice" w:id="1">
    <w:p w14:paraId="38022C21" w14:textId="77777777" w:rsidR="00DC76EF" w:rsidRDefault="00DC7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IDFont+F1">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B155" w14:textId="77777777" w:rsidR="003F3B48" w:rsidRPr="003F3B48" w:rsidRDefault="003F3B48" w:rsidP="003F3B48">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0A1FEAB2" w14:textId="2337BB42" w:rsidR="00EA3F69" w:rsidRDefault="003F3B48" w:rsidP="003F3B48">
    <w:pPr>
      <w:pStyle w:val="Footer"/>
      <w:framePr w:wrap="around" w:vAnchor="text" w:hAnchor="margin" w:xAlign="center" w:y="1"/>
      <w:jc w:val="center"/>
      <w:rPr>
        <w:rStyle w:val="PageNumber"/>
      </w:rPr>
    </w:pPr>
    <w:r w:rsidRPr="003F3B48">
      <w:rPr>
        <w:rStyle w:val="PageNumber"/>
        <w:rFonts w:ascii="Calibri" w:hAnsi="Calibri" w:cs="Calibri"/>
        <w:b/>
        <w:color w:val="F00000"/>
        <w:sz w:val="24"/>
      </w:rPr>
      <w:t>OFFICIAL</w:t>
    </w:r>
    <w:r>
      <w:rPr>
        <w:rStyle w:val="PageNumber"/>
      </w:rPr>
      <w:t xml:space="preserve"> </w:t>
    </w:r>
    <w:r>
      <w:rPr>
        <w:rStyle w:val="PageNumber"/>
      </w:rPr>
      <w:fldChar w:fldCharType="end"/>
    </w:r>
    <w:r w:rsidR="00EA3F69">
      <w:rPr>
        <w:rStyle w:val="PageNumber"/>
      </w:rPr>
      <w:fldChar w:fldCharType="begin"/>
    </w:r>
    <w:r w:rsidR="00EA3F69">
      <w:rPr>
        <w:rStyle w:val="PageNumber"/>
      </w:rPr>
      <w:instrText xml:space="preserve">PAGE  </w:instrText>
    </w:r>
    <w:r w:rsidR="00EA3F69">
      <w:rPr>
        <w:rStyle w:val="PageNumber"/>
      </w:rPr>
      <w:fldChar w:fldCharType="end"/>
    </w:r>
  </w:p>
  <w:p w14:paraId="057B5508" w14:textId="77777777" w:rsidR="00EA3F69" w:rsidRDefault="00EA3F69" w:rsidP="003F3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5D37" w14:textId="77777777" w:rsidR="003F3B48" w:rsidRPr="003F3B48" w:rsidRDefault="003F3B48" w:rsidP="003F3B48">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516B1B29" w14:textId="4743EA09" w:rsidR="003F3B48" w:rsidRDefault="003F3B48" w:rsidP="003F3B48">
    <w:pPr>
      <w:pStyle w:val="Footer"/>
      <w:jc w:val="center"/>
    </w:pPr>
    <w:r w:rsidRPr="003F3B48">
      <w:rPr>
        <w:rFonts w:ascii="Calibri" w:hAnsi="Calibri" w:cs="Calibri"/>
        <w:b/>
        <w:color w:val="F00000"/>
        <w:sz w:val="24"/>
      </w:rPr>
      <w:t>OFFICIAL</w:t>
    </w:r>
    <w:r>
      <w:t xml:space="preserve"> </w:t>
    </w:r>
    <w:r>
      <w:fldChar w:fldCharType="end"/>
    </w:r>
  </w:p>
  <w:sdt>
    <w:sdtPr>
      <w:id w:val="-640497913"/>
      <w:docPartObj>
        <w:docPartGallery w:val="Page Numbers (Bottom of Page)"/>
        <w:docPartUnique/>
      </w:docPartObj>
    </w:sdtPr>
    <w:sdtEndPr>
      <w:rPr>
        <w:noProof/>
      </w:rPr>
    </w:sdtEndPr>
    <w:sdtContent>
      <w:p w14:paraId="45E2CC46" w14:textId="55C3A1D0" w:rsidR="00EA3F69" w:rsidRDefault="00EA3F69" w:rsidP="00A671E6">
        <w:pPr>
          <w:pStyle w:val="Footer"/>
          <w:jc w:val="center"/>
        </w:pPr>
        <w:r>
          <w:fldChar w:fldCharType="begin"/>
        </w:r>
        <w:r>
          <w:instrText xml:space="preserve"> PAGE   \* MERGEFORMAT </w:instrText>
        </w:r>
        <w:r>
          <w:fldChar w:fldCharType="separate"/>
        </w:r>
        <w:r w:rsidR="003F3B48">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C4EB" w14:textId="77777777" w:rsidR="003F3B48" w:rsidRPr="003F3B48" w:rsidRDefault="003F3B48" w:rsidP="003F3B48">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40302BB3" w14:textId="75152E81" w:rsidR="00EA3F69" w:rsidRPr="003F3B48" w:rsidRDefault="003F3B48" w:rsidP="003F3B48">
    <w:pPr>
      <w:pStyle w:val="Footer"/>
      <w:jc w:val="center"/>
    </w:pPr>
    <w:r w:rsidRPr="003F3B48">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7BC70" w14:textId="77777777" w:rsidR="00DC76EF" w:rsidRDefault="00DC76EF">
      <w:r>
        <w:separator/>
      </w:r>
    </w:p>
  </w:footnote>
  <w:footnote w:type="continuationSeparator" w:id="0">
    <w:p w14:paraId="640B9FAF" w14:textId="77777777" w:rsidR="00DC76EF" w:rsidRDefault="00DC76EF">
      <w:r>
        <w:continuationSeparator/>
      </w:r>
    </w:p>
  </w:footnote>
  <w:footnote w:type="continuationNotice" w:id="1">
    <w:p w14:paraId="07EE2ED2" w14:textId="77777777" w:rsidR="00DC76EF" w:rsidRDefault="00DC76EF"/>
  </w:footnote>
  <w:footnote w:id="2">
    <w:p w14:paraId="6626AD0C" w14:textId="706D36C0" w:rsidR="00EA3F69" w:rsidRDefault="00EA3F69" w:rsidP="009919C3">
      <w:pPr>
        <w:pStyle w:val="FootnoteText"/>
      </w:pPr>
      <w:r w:rsidRPr="00882735">
        <w:rPr>
          <w:rStyle w:val="FootnoteReference"/>
        </w:rPr>
        <w:footnoteRef/>
      </w:r>
      <w:r w:rsidRPr="00882735">
        <w:t xml:space="preserve"> </w:t>
      </w:r>
      <w:hyperlink r:id="rId1" w:history="1">
        <w:r w:rsidRPr="0084673A">
          <w:rPr>
            <w:rStyle w:val="Hyperlink"/>
          </w:rPr>
          <w:t>http://www.foodstandards.gov.au/code/applications/Pages/A1163.aspx</w:t>
        </w:r>
      </w:hyperlink>
    </w:p>
    <w:p w14:paraId="70C66922" w14:textId="77777777" w:rsidR="00EA3F69" w:rsidRPr="00A61E32" w:rsidRDefault="00EA3F69" w:rsidP="009919C3">
      <w:pPr>
        <w:pStyle w:val="FootnoteText"/>
        <w:rPr>
          <w:lang w:val="en-AU"/>
        </w:rPr>
      </w:pPr>
    </w:p>
  </w:footnote>
  <w:footnote w:id="3">
    <w:p w14:paraId="744156BF" w14:textId="20C13131" w:rsidR="00EA3F69" w:rsidRPr="00A959ED" w:rsidRDefault="00EA3F69" w:rsidP="00346D4C">
      <w:r>
        <w:rPr>
          <w:rStyle w:val="FootnoteReference"/>
        </w:rPr>
        <w:footnoteRef/>
      </w:r>
      <w:r>
        <w:t xml:space="preserve"> </w:t>
      </w:r>
      <w:r>
        <w:rPr>
          <w:lang w:bidi="ar-SA"/>
        </w:rPr>
        <w:t>The five fully s</w:t>
      </w:r>
      <w:r>
        <w:t>upportive submissions that did not include any issues for consideration in regard to the application (from two government agencies and three food businesses) are not included in Table 1.</w:t>
      </w:r>
    </w:p>
    <w:p w14:paraId="77B1240B" w14:textId="374FC3E5" w:rsidR="00EA3F69" w:rsidRPr="00346D4C" w:rsidRDefault="00EA3F69">
      <w:pPr>
        <w:pStyle w:val="FootnoteText"/>
        <w:rPr>
          <w:lang w:val="en-AU"/>
        </w:rPr>
      </w:pPr>
    </w:p>
  </w:footnote>
  <w:footnote w:id="4">
    <w:p w14:paraId="649ABD5F" w14:textId="77777777" w:rsidR="00EA3F69" w:rsidRDefault="00EA3F69" w:rsidP="00756F46">
      <w:pPr>
        <w:pStyle w:val="FootnoteText"/>
      </w:pPr>
      <w:r>
        <w:rPr>
          <w:rStyle w:val="FootnoteReference"/>
        </w:rPr>
        <w:footnoteRef/>
      </w:r>
      <w:r>
        <w:t xml:space="preserve"> </w:t>
      </w:r>
      <w:hyperlink r:id="rId2" w:history="1">
        <w:r>
          <w:rPr>
            <w:rStyle w:val="Hyperlink"/>
          </w:rPr>
          <w:t>Policy Guideline on the labelling of food produced using new technologies</w:t>
        </w:r>
      </w:hyperlink>
    </w:p>
    <w:p w14:paraId="1F5FCFEA" w14:textId="77777777" w:rsidR="00EA3F69" w:rsidRPr="007A19D7" w:rsidRDefault="00EA3F69" w:rsidP="00756F46">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9404" w14:textId="77777777" w:rsidR="003F3B48" w:rsidRPr="003F3B48" w:rsidRDefault="003F3B48" w:rsidP="003F3B48">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3F3B48">
      <w:rPr>
        <w:rFonts w:ascii="Calibri" w:hAnsi="Calibri" w:cs="Calibri"/>
        <w:b/>
        <w:color w:val="F00000"/>
        <w:sz w:val="24"/>
      </w:rPr>
      <w:t>OFFICIAL</w:t>
    </w:r>
  </w:p>
  <w:p w14:paraId="4489D113" w14:textId="1B123F76" w:rsidR="00EA3F69" w:rsidRPr="003F3B48" w:rsidRDefault="003F3B48" w:rsidP="003F3B48">
    <w:pPr>
      <w:pStyle w:val="Header"/>
      <w:jc w:val="center"/>
    </w:pPr>
    <w:r w:rsidRPr="003F3B48">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0FDC" w14:textId="77777777" w:rsidR="003F3B48" w:rsidRPr="003F3B48" w:rsidRDefault="003F3B48" w:rsidP="003F3B48">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3F3B48">
      <w:rPr>
        <w:rFonts w:ascii="Calibri" w:hAnsi="Calibri" w:cs="Calibri"/>
        <w:b/>
        <w:color w:val="F00000"/>
        <w:sz w:val="24"/>
      </w:rPr>
      <w:t>OFFICIAL</w:t>
    </w:r>
  </w:p>
  <w:p w14:paraId="488EF68C" w14:textId="32BF2C1C" w:rsidR="00EA3F69" w:rsidRPr="003F3B48" w:rsidRDefault="003F3B48" w:rsidP="003F3B48">
    <w:pPr>
      <w:pStyle w:val="Header"/>
      <w:jc w:val="center"/>
    </w:pPr>
    <w:r w:rsidRPr="003F3B48">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E546" w14:textId="77777777" w:rsidR="003F3B48" w:rsidRPr="003F3B48" w:rsidRDefault="003F3B48" w:rsidP="003F3B48">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3F3B48">
      <w:rPr>
        <w:rFonts w:ascii="Calibri" w:hAnsi="Calibri" w:cs="Calibri"/>
        <w:b/>
        <w:bCs/>
        <w:color w:val="F00000"/>
        <w:sz w:val="24"/>
      </w:rPr>
      <w:t>OFFICIAL</w:t>
    </w:r>
  </w:p>
  <w:p w14:paraId="779591ED" w14:textId="7E50AE1B" w:rsidR="003F3B48" w:rsidRDefault="003F3B48" w:rsidP="003F3B48">
    <w:pPr>
      <w:pStyle w:val="Header"/>
      <w:jc w:val="center"/>
      <w:rPr>
        <w:b/>
        <w:bCs/>
      </w:rPr>
    </w:pPr>
    <w:r w:rsidRPr="003F3B48">
      <w:rPr>
        <w:rFonts w:ascii="Calibri" w:hAnsi="Calibri" w:cs="Calibri"/>
        <w:b/>
        <w:bCs/>
        <w:color w:val="F00000"/>
        <w:sz w:val="24"/>
      </w:rPr>
      <w:t xml:space="preserve"> </w:t>
    </w:r>
    <w:r>
      <w:rPr>
        <w:b/>
        <w:bCs/>
      </w:rPr>
      <w:fldChar w:fldCharType="end"/>
    </w:r>
  </w:p>
  <w:p w14:paraId="6D18B083" w14:textId="67B3CB92" w:rsidR="00EA3F69" w:rsidRDefault="00EA3F6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2901AD5"/>
    <w:multiLevelType w:val="hybridMultilevel"/>
    <w:tmpl w:val="2E06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86E234D6"/>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A9946A6"/>
    <w:multiLevelType w:val="hybridMultilevel"/>
    <w:tmpl w:val="F06C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E00DB"/>
    <w:multiLevelType w:val="hybridMultilevel"/>
    <w:tmpl w:val="F9F25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2279F"/>
    <w:multiLevelType w:val="hybridMultilevel"/>
    <w:tmpl w:val="75A6E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DD7556"/>
    <w:multiLevelType w:val="hybridMultilevel"/>
    <w:tmpl w:val="42064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CE6D53"/>
    <w:multiLevelType w:val="hybridMultilevel"/>
    <w:tmpl w:val="943E8D7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EB3FCA"/>
    <w:multiLevelType w:val="hybridMultilevel"/>
    <w:tmpl w:val="F300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C1350"/>
    <w:multiLevelType w:val="hybridMultilevel"/>
    <w:tmpl w:val="2DE65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5"/>
  </w:num>
  <w:num w:numId="6">
    <w:abstractNumId w:val="11"/>
  </w:num>
  <w:num w:numId="7">
    <w:abstractNumId w:val="8"/>
  </w:num>
  <w:num w:numId="8">
    <w:abstractNumId w:val="0"/>
  </w:num>
  <w:num w:numId="9">
    <w:abstractNumId w:val="6"/>
  </w:num>
  <w:num w:numId="10">
    <w:abstractNumId w:val="9"/>
  </w:num>
  <w:num w:numId="11">
    <w:abstractNumId w:val="2"/>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BB7"/>
    <w:rsid w:val="0000247B"/>
    <w:rsid w:val="0000469B"/>
    <w:rsid w:val="000100CD"/>
    <w:rsid w:val="00010E79"/>
    <w:rsid w:val="00011187"/>
    <w:rsid w:val="00014E34"/>
    <w:rsid w:val="0001638A"/>
    <w:rsid w:val="000332AE"/>
    <w:rsid w:val="00035FF3"/>
    <w:rsid w:val="000417B6"/>
    <w:rsid w:val="000418F0"/>
    <w:rsid w:val="00051021"/>
    <w:rsid w:val="000524F0"/>
    <w:rsid w:val="00052D54"/>
    <w:rsid w:val="00054CCE"/>
    <w:rsid w:val="000576EB"/>
    <w:rsid w:val="00064B2D"/>
    <w:rsid w:val="00065F1F"/>
    <w:rsid w:val="000666A5"/>
    <w:rsid w:val="00076D33"/>
    <w:rsid w:val="00076D3B"/>
    <w:rsid w:val="00077859"/>
    <w:rsid w:val="00077AEA"/>
    <w:rsid w:val="00081B0A"/>
    <w:rsid w:val="000826AD"/>
    <w:rsid w:val="00093FBF"/>
    <w:rsid w:val="000A0E8D"/>
    <w:rsid w:val="000A1C7B"/>
    <w:rsid w:val="000A3D8B"/>
    <w:rsid w:val="000B427A"/>
    <w:rsid w:val="000B6429"/>
    <w:rsid w:val="000B6AF2"/>
    <w:rsid w:val="000C53DB"/>
    <w:rsid w:val="000D02A2"/>
    <w:rsid w:val="000D6881"/>
    <w:rsid w:val="000D6FD4"/>
    <w:rsid w:val="000D7B1C"/>
    <w:rsid w:val="000E0AE4"/>
    <w:rsid w:val="000E1EA4"/>
    <w:rsid w:val="000E3DBC"/>
    <w:rsid w:val="000E438B"/>
    <w:rsid w:val="000E662F"/>
    <w:rsid w:val="000F3CFE"/>
    <w:rsid w:val="000F6568"/>
    <w:rsid w:val="00102819"/>
    <w:rsid w:val="00104544"/>
    <w:rsid w:val="00106DC6"/>
    <w:rsid w:val="00106F88"/>
    <w:rsid w:val="0010778D"/>
    <w:rsid w:val="001122EC"/>
    <w:rsid w:val="00117642"/>
    <w:rsid w:val="0012388D"/>
    <w:rsid w:val="00136B57"/>
    <w:rsid w:val="00150B54"/>
    <w:rsid w:val="0015187A"/>
    <w:rsid w:val="00156F65"/>
    <w:rsid w:val="001655AA"/>
    <w:rsid w:val="001661AD"/>
    <w:rsid w:val="00182C4C"/>
    <w:rsid w:val="001878C5"/>
    <w:rsid w:val="0019399D"/>
    <w:rsid w:val="00197D8D"/>
    <w:rsid w:val="001A1A75"/>
    <w:rsid w:val="001A7E9A"/>
    <w:rsid w:val="001B26F9"/>
    <w:rsid w:val="001C27A3"/>
    <w:rsid w:val="001D43F6"/>
    <w:rsid w:val="001E09FA"/>
    <w:rsid w:val="001F42E2"/>
    <w:rsid w:val="001F7F63"/>
    <w:rsid w:val="00202A6F"/>
    <w:rsid w:val="0020371A"/>
    <w:rsid w:val="0022197C"/>
    <w:rsid w:val="00221D07"/>
    <w:rsid w:val="00224E3B"/>
    <w:rsid w:val="00225B01"/>
    <w:rsid w:val="00227E4A"/>
    <w:rsid w:val="00230052"/>
    <w:rsid w:val="002421C1"/>
    <w:rsid w:val="00250197"/>
    <w:rsid w:val="00250BEF"/>
    <w:rsid w:val="00253AD8"/>
    <w:rsid w:val="00256534"/>
    <w:rsid w:val="0025781A"/>
    <w:rsid w:val="0026387E"/>
    <w:rsid w:val="00264B5F"/>
    <w:rsid w:val="002720A1"/>
    <w:rsid w:val="0027354B"/>
    <w:rsid w:val="00274BD9"/>
    <w:rsid w:val="002758A0"/>
    <w:rsid w:val="0029204E"/>
    <w:rsid w:val="0029233B"/>
    <w:rsid w:val="00292B9B"/>
    <w:rsid w:val="002A0194"/>
    <w:rsid w:val="002A518B"/>
    <w:rsid w:val="002A5F8B"/>
    <w:rsid w:val="002A7F6C"/>
    <w:rsid w:val="002B0071"/>
    <w:rsid w:val="002C1A3B"/>
    <w:rsid w:val="002C261C"/>
    <w:rsid w:val="002C28DF"/>
    <w:rsid w:val="002D1CCE"/>
    <w:rsid w:val="002E16D5"/>
    <w:rsid w:val="002E1820"/>
    <w:rsid w:val="002F1E00"/>
    <w:rsid w:val="002F35EA"/>
    <w:rsid w:val="002F6488"/>
    <w:rsid w:val="00305C54"/>
    <w:rsid w:val="00307698"/>
    <w:rsid w:val="0031016C"/>
    <w:rsid w:val="00310B24"/>
    <w:rsid w:val="0031426B"/>
    <w:rsid w:val="003175EC"/>
    <w:rsid w:val="003213F9"/>
    <w:rsid w:val="00323AB6"/>
    <w:rsid w:val="00323DBF"/>
    <w:rsid w:val="00327867"/>
    <w:rsid w:val="00332B12"/>
    <w:rsid w:val="00337CBC"/>
    <w:rsid w:val="003428FC"/>
    <w:rsid w:val="00346622"/>
    <w:rsid w:val="00346D4C"/>
    <w:rsid w:val="0035065B"/>
    <w:rsid w:val="003507DB"/>
    <w:rsid w:val="00351B07"/>
    <w:rsid w:val="003641E7"/>
    <w:rsid w:val="0036533D"/>
    <w:rsid w:val="003672A9"/>
    <w:rsid w:val="00370A0F"/>
    <w:rsid w:val="00371B29"/>
    <w:rsid w:val="003766F8"/>
    <w:rsid w:val="00380106"/>
    <w:rsid w:val="003814F0"/>
    <w:rsid w:val="00381E07"/>
    <w:rsid w:val="00382499"/>
    <w:rsid w:val="00385788"/>
    <w:rsid w:val="00391769"/>
    <w:rsid w:val="003953E1"/>
    <w:rsid w:val="003956B3"/>
    <w:rsid w:val="003A0A4D"/>
    <w:rsid w:val="003A3C5C"/>
    <w:rsid w:val="003A3D30"/>
    <w:rsid w:val="003A68BE"/>
    <w:rsid w:val="003A7882"/>
    <w:rsid w:val="003A7B84"/>
    <w:rsid w:val="003B47AF"/>
    <w:rsid w:val="003C4969"/>
    <w:rsid w:val="003D2CDC"/>
    <w:rsid w:val="003D6F63"/>
    <w:rsid w:val="003E41D5"/>
    <w:rsid w:val="003E46BA"/>
    <w:rsid w:val="003E7CD4"/>
    <w:rsid w:val="003F1AD1"/>
    <w:rsid w:val="003F22FC"/>
    <w:rsid w:val="003F3B48"/>
    <w:rsid w:val="003F74C1"/>
    <w:rsid w:val="00401ADE"/>
    <w:rsid w:val="00405B1A"/>
    <w:rsid w:val="00410C76"/>
    <w:rsid w:val="00411907"/>
    <w:rsid w:val="00415EE6"/>
    <w:rsid w:val="00417EE3"/>
    <w:rsid w:val="004207EB"/>
    <w:rsid w:val="00421730"/>
    <w:rsid w:val="00422EC9"/>
    <w:rsid w:val="00423AC7"/>
    <w:rsid w:val="0043216D"/>
    <w:rsid w:val="00432A42"/>
    <w:rsid w:val="00437276"/>
    <w:rsid w:val="00445B9F"/>
    <w:rsid w:val="004501C8"/>
    <w:rsid w:val="00453646"/>
    <w:rsid w:val="00454876"/>
    <w:rsid w:val="00456B54"/>
    <w:rsid w:val="00456BD5"/>
    <w:rsid w:val="00457D59"/>
    <w:rsid w:val="00464643"/>
    <w:rsid w:val="0046618D"/>
    <w:rsid w:val="00472377"/>
    <w:rsid w:val="00473AFB"/>
    <w:rsid w:val="00475DF8"/>
    <w:rsid w:val="00480311"/>
    <w:rsid w:val="00480853"/>
    <w:rsid w:val="004831B2"/>
    <w:rsid w:val="00486793"/>
    <w:rsid w:val="00486C66"/>
    <w:rsid w:val="00494A3F"/>
    <w:rsid w:val="004A2037"/>
    <w:rsid w:val="004A793C"/>
    <w:rsid w:val="004A7BF0"/>
    <w:rsid w:val="004A7E08"/>
    <w:rsid w:val="004B047B"/>
    <w:rsid w:val="004B0F62"/>
    <w:rsid w:val="004B4CDC"/>
    <w:rsid w:val="004B63C7"/>
    <w:rsid w:val="004C667F"/>
    <w:rsid w:val="004D0B58"/>
    <w:rsid w:val="004D121E"/>
    <w:rsid w:val="004D1B1C"/>
    <w:rsid w:val="004F0152"/>
    <w:rsid w:val="004F4F98"/>
    <w:rsid w:val="004F69F6"/>
    <w:rsid w:val="004F79AC"/>
    <w:rsid w:val="0050616D"/>
    <w:rsid w:val="00506E9B"/>
    <w:rsid w:val="0051199D"/>
    <w:rsid w:val="005207D8"/>
    <w:rsid w:val="00523930"/>
    <w:rsid w:val="005244F1"/>
    <w:rsid w:val="00530438"/>
    <w:rsid w:val="00537CDC"/>
    <w:rsid w:val="005440D5"/>
    <w:rsid w:val="00557A12"/>
    <w:rsid w:val="00560185"/>
    <w:rsid w:val="00562917"/>
    <w:rsid w:val="0056723E"/>
    <w:rsid w:val="00571B8C"/>
    <w:rsid w:val="00580DDF"/>
    <w:rsid w:val="005811B7"/>
    <w:rsid w:val="00586228"/>
    <w:rsid w:val="005946D3"/>
    <w:rsid w:val="00597631"/>
    <w:rsid w:val="005A39A3"/>
    <w:rsid w:val="005A572E"/>
    <w:rsid w:val="005B084E"/>
    <w:rsid w:val="005B6AF4"/>
    <w:rsid w:val="005C04CB"/>
    <w:rsid w:val="005C2A87"/>
    <w:rsid w:val="005C3F68"/>
    <w:rsid w:val="005C4CD8"/>
    <w:rsid w:val="005D13B0"/>
    <w:rsid w:val="005D16AD"/>
    <w:rsid w:val="005D2016"/>
    <w:rsid w:val="005D2EA9"/>
    <w:rsid w:val="005D72E1"/>
    <w:rsid w:val="005E06C0"/>
    <w:rsid w:val="005E07A4"/>
    <w:rsid w:val="005E297C"/>
    <w:rsid w:val="005E58D3"/>
    <w:rsid w:val="005E6E16"/>
    <w:rsid w:val="005F400E"/>
    <w:rsid w:val="005F7342"/>
    <w:rsid w:val="00601103"/>
    <w:rsid w:val="00610A3C"/>
    <w:rsid w:val="006138D7"/>
    <w:rsid w:val="00614BA1"/>
    <w:rsid w:val="00615E83"/>
    <w:rsid w:val="00616017"/>
    <w:rsid w:val="00616599"/>
    <w:rsid w:val="00620078"/>
    <w:rsid w:val="0062289D"/>
    <w:rsid w:val="00623AF4"/>
    <w:rsid w:val="00627F48"/>
    <w:rsid w:val="00633588"/>
    <w:rsid w:val="0063455F"/>
    <w:rsid w:val="00635814"/>
    <w:rsid w:val="00637369"/>
    <w:rsid w:val="00637F52"/>
    <w:rsid w:val="006438F7"/>
    <w:rsid w:val="006455D5"/>
    <w:rsid w:val="00647C07"/>
    <w:rsid w:val="0065051F"/>
    <w:rsid w:val="00663FCF"/>
    <w:rsid w:val="006651E3"/>
    <w:rsid w:val="006652A2"/>
    <w:rsid w:val="006735F4"/>
    <w:rsid w:val="0067457E"/>
    <w:rsid w:val="00683071"/>
    <w:rsid w:val="006865F3"/>
    <w:rsid w:val="00692490"/>
    <w:rsid w:val="00694D00"/>
    <w:rsid w:val="006969CC"/>
    <w:rsid w:val="00696A15"/>
    <w:rsid w:val="006A22ED"/>
    <w:rsid w:val="006A48A7"/>
    <w:rsid w:val="006A5D40"/>
    <w:rsid w:val="006B41ED"/>
    <w:rsid w:val="006B4952"/>
    <w:rsid w:val="006C06B4"/>
    <w:rsid w:val="006C116D"/>
    <w:rsid w:val="006C22A7"/>
    <w:rsid w:val="006C5CF5"/>
    <w:rsid w:val="006D33FF"/>
    <w:rsid w:val="006D6B7D"/>
    <w:rsid w:val="006E0606"/>
    <w:rsid w:val="006E10A1"/>
    <w:rsid w:val="006E544A"/>
    <w:rsid w:val="006F4A82"/>
    <w:rsid w:val="006F6F04"/>
    <w:rsid w:val="00702406"/>
    <w:rsid w:val="00710C37"/>
    <w:rsid w:val="00722678"/>
    <w:rsid w:val="00723479"/>
    <w:rsid w:val="00724FA4"/>
    <w:rsid w:val="00726124"/>
    <w:rsid w:val="00730800"/>
    <w:rsid w:val="00731E76"/>
    <w:rsid w:val="00734B6F"/>
    <w:rsid w:val="0073579E"/>
    <w:rsid w:val="00745F12"/>
    <w:rsid w:val="00755F02"/>
    <w:rsid w:val="00756AD8"/>
    <w:rsid w:val="00756F46"/>
    <w:rsid w:val="0075756A"/>
    <w:rsid w:val="007602AA"/>
    <w:rsid w:val="00762801"/>
    <w:rsid w:val="007652EF"/>
    <w:rsid w:val="00765DE1"/>
    <w:rsid w:val="007720A2"/>
    <w:rsid w:val="00772BDC"/>
    <w:rsid w:val="00777437"/>
    <w:rsid w:val="007776B4"/>
    <w:rsid w:val="00780792"/>
    <w:rsid w:val="00782E12"/>
    <w:rsid w:val="0078309E"/>
    <w:rsid w:val="007913A4"/>
    <w:rsid w:val="007932C6"/>
    <w:rsid w:val="00795D86"/>
    <w:rsid w:val="007A317F"/>
    <w:rsid w:val="007A3CF9"/>
    <w:rsid w:val="007A44B4"/>
    <w:rsid w:val="007A53BF"/>
    <w:rsid w:val="007A6690"/>
    <w:rsid w:val="007A7D3D"/>
    <w:rsid w:val="007B225D"/>
    <w:rsid w:val="007B37B3"/>
    <w:rsid w:val="007C1C64"/>
    <w:rsid w:val="007C22CB"/>
    <w:rsid w:val="007D0189"/>
    <w:rsid w:val="007D6CF4"/>
    <w:rsid w:val="007E21B2"/>
    <w:rsid w:val="007E48BC"/>
    <w:rsid w:val="007E75F2"/>
    <w:rsid w:val="007E79F7"/>
    <w:rsid w:val="007F3630"/>
    <w:rsid w:val="007F63B9"/>
    <w:rsid w:val="007F6ED8"/>
    <w:rsid w:val="007F7BF7"/>
    <w:rsid w:val="0080138F"/>
    <w:rsid w:val="00802894"/>
    <w:rsid w:val="00807559"/>
    <w:rsid w:val="00813464"/>
    <w:rsid w:val="00831154"/>
    <w:rsid w:val="008450BC"/>
    <w:rsid w:val="00847066"/>
    <w:rsid w:val="00850B09"/>
    <w:rsid w:val="00852BC2"/>
    <w:rsid w:val="0085334B"/>
    <w:rsid w:val="008537BA"/>
    <w:rsid w:val="00856712"/>
    <w:rsid w:val="00856FCE"/>
    <w:rsid w:val="00860808"/>
    <w:rsid w:val="00861C13"/>
    <w:rsid w:val="00862349"/>
    <w:rsid w:val="008634A1"/>
    <w:rsid w:val="0086571E"/>
    <w:rsid w:val="00870214"/>
    <w:rsid w:val="00871116"/>
    <w:rsid w:val="008753A7"/>
    <w:rsid w:val="00882E73"/>
    <w:rsid w:val="00885C51"/>
    <w:rsid w:val="0089026B"/>
    <w:rsid w:val="00892DB2"/>
    <w:rsid w:val="00895E46"/>
    <w:rsid w:val="00896402"/>
    <w:rsid w:val="00896B85"/>
    <w:rsid w:val="008A243D"/>
    <w:rsid w:val="008A3E96"/>
    <w:rsid w:val="008A6AB8"/>
    <w:rsid w:val="008A7669"/>
    <w:rsid w:val="008A7732"/>
    <w:rsid w:val="008B1039"/>
    <w:rsid w:val="008C4E76"/>
    <w:rsid w:val="008D06C6"/>
    <w:rsid w:val="008D07FD"/>
    <w:rsid w:val="008D5E9D"/>
    <w:rsid w:val="008D6A71"/>
    <w:rsid w:val="008E6250"/>
    <w:rsid w:val="008F3C76"/>
    <w:rsid w:val="00902E6D"/>
    <w:rsid w:val="00907224"/>
    <w:rsid w:val="00917C6F"/>
    <w:rsid w:val="00920249"/>
    <w:rsid w:val="00926E10"/>
    <w:rsid w:val="00932F14"/>
    <w:rsid w:val="0094247F"/>
    <w:rsid w:val="00942D60"/>
    <w:rsid w:val="0094358A"/>
    <w:rsid w:val="009460FA"/>
    <w:rsid w:val="00947534"/>
    <w:rsid w:val="009478A1"/>
    <w:rsid w:val="0095786C"/>
    <w:rsid w:val="0096523B"/>
    <w:rsid w:val="00972D06"/>
    <w:rsid w:val="00974E08"/>
    <w:rsid w:val="00987EB0"/>
    <w:rsid w:val="009919C3"/>
    <w:rsid w:val="0099323D"/>
    <w:rsid w:val="0099462C"/>
    <w:rsid w:val="0099623A"/>
    <w:rsid w:val="00997EB7"/>
    <w:rsid w:val="009A2699"/>
    <w:rsid w:val="009A2DC9"/>
    <w:rsid w:val="009A391C"/>
    <w:rsid w:val="009A5E8A"/>
    <w:rsid w:val="009B2C8C"/>
    <w:rsid w:val="009E0A61"/>
    <w:rsid w:val="009E2B18"/>
    <w:rsid w:val="009E3010"/>
    <w:rsid w:val="009E46F5"/>
    <w:rsid w:val="009E7A84"/>
    <w:rsid w:val="009F7065"/>
    <w:rsid w:val="00A04F83"/>
    <w:rsid w:val="00A210AC"/>
    <w:rsid w:val="00A21B1C"/>
    <w:rsid w:val="00A2449C"/>
    <w:rsid w:val="00A318EB"/>
    <w:rsid w:val="00A47232"/>
    <w:rsid w:val="00A551B9"/>
    <w:rsid w:val="00A56DC7"/>
    <w:rsid w:val="00A61079"/>
    <w:rsid w:val="00A66FDD"/>
    <w:rsid w:val="00A671E6"/>
    <w:rsid w:val="00A70381"/>
    <w:rsid w:val="00A709E5"/>
    <w:rsid w:val="00A71D29"/>
    <w:rsid w:val="00A74FD1"/>
    <w:rsid w:val="00A7631E"/>
    <w:rsid w:val="00A81886"/>
    <w:rsid w:val="00A84A58"/>
    <w:rsid w:val="00A9083A"/>
    <w:rsid w:val="00A91E3B"/>
    <w:rsid w:val="00A929A9"/>
    <w:rsid w:val="00A96594"/>
    <w:rsid w:val="00A97DB9"/>
    <w:rsid w:val="00AA41BA"/>
    <w:rsid w:val="00AA437F"/>
    <w:rsid w:val="00AA6D0D"/>
    <w:rsid w:val="00AA6E61"/>
    <w:rsid w:val="00AA6FA3"/>
    <w:rsid w:val="00AC4052"/>
    <w:rsid w:val="00AC428E"/>
    <w:rsid w:val="00AD344F"/>
    <w:rsid w:val="00AE4FFD"/>
    <w:rsid w:val="00AF24FA"/>
    <w:rsid w:val="00AF387F"/>
    <w:rsid w:val="00AF397D"/>
    <w:rsid w:val="00B00E7F"/>
    <w:rsid w:val="00B02560"/>
    <w:rsid w:val="00B17112"/>
    <w:rsid w:val="00B20049"/>
    <w:rsid w:val="00B21055"/>
    <w:rsid w:val="00B21DCC"/>
    <w:rsid w:val="00B25F37"/>
    <w:rsid w:val="00B27365"/>
    <w:rsid w:val="00B30A65"/>
    <w:rsid w:val="00B37158"/>
    <w:rsid w:val="00B425AA"/>
    <w:rsid w:val="00B429D7"/>
    <w:rsid w:val="00B44422"/>
    <w:rsid w:val="00B46EA0"/>
    <w:rsid w:val="00B471AA"/>
    <w:rsid w:val="00B5176B"/>
    <w:rsid w:val="00B5545B"/>
    <w:rsid w:val="00B55714"/>
    <w:rsid w:val="00B56B09"/>
    <w:rsid w:val="00B63013"/>
    <w:rsid w:val="00B63BBA"/>
    <w:rsid w:val="00B64A77"/>
    <w:rsid w:val="00B731D3"/>
    <w:rsid w:val="00B75B57"/>
    <w:rsid w:val="00B77C18"/>
    <w:rsid w:val="00B811B3"/>
    <w:rsid w:val="00B839A3"/>
    <w:rsid w:val="00B87D87"/>
    <w:rsid w:val="00B902BD"/>
    <w:rsid w:val="00B920D2"/>
    <w:rsid w:val="00B92501"/>
    <w:rsid w:val="00B925B0"/>
    <w:rsid w:val="00B95202"/>
    <w:rsid w:val="00B954BE"/>
    <w:rsid w:val="00BA0A59"/>
    <w:rsid w:val="00BA1009"/>
    <w:rsid w:val="00BB0A40"/>
    <w:rsid w:val="00BB0EC9"/>
    <w:rsid w:val="00BC76A8"/>
    <w:rsid w:val="00BD2872"/>
    <w:rsid w:val="00BD2A39"/>
    <w:rsid w:val="00BD2E80"/>
    <w:rsid w:val="00BD47D7"/>
    <w:rsid w:val="00BD49FF"/>
    <w:rsid w:val="00BD4B64"/>
    <w:rsid w:val="00BD77E1"/>
    <w:rsid w:val="00BE11B8"/>
    <w:rsid w:val="00BE2B86"/>
    <w:rsid w:val="00BE548A"/>
    <w:rsid w:val="00BF45A3"/>
    <w:rsid w:val="00BF7728"/>
    <w:rsid w:val="00BF7974"/>
    <w:rsid w:val="00BF7FF0"/>
    <w:rsid w:val="00C06489"/>
    <w:rsid w:val="00C11AEA"/>
    <w:rsid w:val="00C12502"/>
    <w:rsid w:val="00C157FC"/>
    <w:rsid w:val="00C2152A"/>
    <w:rsid w:val="00C26B3B"/>
    <w:rsid w:val="00C3455F"/>
    <w:rsid w:val="00C36EEE"/>
    <w:rsid w:val="00C40AA5"/>
    <w:rsid w:val="00C432B3"/>
    <w:rsid w:val="00C45CDB"/>
    <w:rsid w:val="00C46F70"/>
    <w:rsid w:val="00C476D0"/>
    <w:rsid w:val="00C556AB"/>
    <w:rsid w:val="00C6434A"/>
    <w:rsid w:val="00C64555"/>
    <w:rsid w:val="00C73BE6"/>
    <w:rsid w:val="00C74398"/>
    <w:rsid w:val="00C830B9"/>
    <w:rsid w:val="00C836E3"/>
    <w:rsid w:val="00C836FF"/>
    <w:rsid w:val="00C854DC"/>
    <w:rsid w:val="00C86577"/>
    <w:rsid w:val="00C91C02"/>
    <w:rsid w:val="00C92E07"/>
    <w:rsid w:val="00C96868"/>
    <w:rsid w:val="00C96CE5"/>
    <w:rsid w:val="00CA0416"/>
    <w:rsid w:val="00CA5734"/>
    <w:rsid w:val="00CA647C"/>
    <w:rsid w:val="00CA7E1B"/>
    <w:rsid w:val="00CB115C"/>
    <w:rsid w:val="00CB50A8"/>
    <w:rsid w:val="00CB691C"/>
    <w:rsid w:val="00CC2F9C"/>
    <w:rsid w:val="00CC3764"/>
    <w:rsid w:val="00CC3A35"/>
    <w:rsid w:val="00CC5468"/>
    <w:rsid w:val="00CC560B"/>
    <w:rsid w:val="00CC75E2"/>
    <w:rsid w:val="00CD46EB"/>
    <w:rsid w:val="00CD5D05"/>
    <w:rsid w:val="00CD6E76"/>
    <w:rsid w:val="00CD7EBF"/>
    <w:rsid w:val="00CE29A3"/>
    <w:rsid w:val="00CE59AA"/>
    <w:rsid w:val="00CE636E"/>
    <w:rsid w:val="00CF0E86"/>
    <w:rsid w:val="00CF4CEB"/>
    <w:rsid w:val="00D00DFA"/>
    <w:rsid w:val="00D056F1"/>
    <w:rsid w:val="00D06616"/>
    <w:rsid w:val="00D138D4"/>
    <w:rsid w:val="00D144D7"/>
    <w:rsid w:val="00D15A08"/>
    <w:rsid w:val="00D23DB6"/>
    <w:rsid w:val="00D32546"/>
    <w:rsid w:val="00D4683D"/>
    <w:rsid w:val="00D51A95"/>
    <w:rsid w:val="00D52DD2"/>
    <w:rsid w:val="00D60568"/>
    <w:rsid w:val="00D64D26"/>
    <w:rsid w:val="00D70C7A"/>
    <w:rsid w:val="00D72A29"/>
    <w:rsid w:val="00D72D1E"/>
    <w:rsid w:val="00D823C2"/>
    <w:rsid w:val="00D834E5"/>
    <w:rsid w:val="00D94E60"/>
    <w:rsid w:val="00D96C9C"/>
    <w:rsid w:val="00DA10A8"/>
    <w:rsid w:val="00DA15B5"/>
    <w:rsid w:val="00DA5E0F"/>
    <w:rsid w:val="00DB123A"/>
    <w:rsid w:val="00DB1E08"/>
    <w:rsid w:val="00DB2973"/>
    <w:rsid w:val="00DB7C23"/>
    <w:rsid w:val="00DC0FBA"/>
    <w:rsid w:val="00DC1B56"/>
    <w:rsid w:val="00DC20CC"/>
    <w:rsid w:val="00DC2129"/>
    <w:rsid w:val="00DC6570"/>
    <w:rsid w:val="00DC76EF"/>
    <w:rsid w:val="00DD265C"/>
    <w:rsid w:val="00DD3703"/>
    <w:rsid w:val="00DD4EA0"/>
    <w:rsid w:val="00DE183C"/>
    <w:rsid w:val="00DE5528"/>
    <w:rsid w:val="00DF25C3"/>
    <w:rsid w:val="00DF5CFF"/>
    <w:rsid w:val="00DF72BB"/>
    <w:rsid w:val="00E04062"/>
    <w:rsid w:val="00E063C6"/>
    <w:rsid w:val="00E0662F"/>
    <w:rsid w:val="00E12686"/>
    <w:rsid w:val="00E15BB7"/>
    <w:rsid w:val="00E2003B"/>
    <w:rsid w:val="00E25675"/>
    <w:rsid w:val="00E26887"/>
    <w:rsid w:val="00E279D8"/>
    <w:rsid w:val="00E30092"/>
    <w:rsid w:val="00E3174C"/>
    <w:rsid w:val="00E319B1"/>
    <w:rsid w:val="00E32188"/>
    <w:rsid w:val="00E327A6"/>
    <w:rsid w:val="00E335EF"/>
    <w:rsid w:val="00E3684F"/>
    <w:rsid w:val="00E41C43"/>
    <w:rsid w:val="00E4308D"/>
    <w:rsid w:val="00E45D19"/>
    <w:rsid w:val="00E47D3B"/>
    <w:rsid w:val="00E540F8"/>
    <w:rsid w:val="00E5492F"/>
    <w:rsid w:val="00E572B1"/>
    <w:rsid w:val="00E61A32"/>
    <w:rsid w:val="00E6369A"/>
    <w:rsid w:val="00E70A86"/>
    <w:rsid w:val="00E73A75"/>
    <w:rsid w:val="00E73E50"/>
    <w:rsid w:val="00E777EC"/>
    <w:rsid w:val="00E80FCD"/>
    <w:rsid w:val="00E8184A"/>
    <w:rsid w:val="00E92E6F"/>
    <w:rsid w:val="00E96DE0"/>
    <w:rsid w:val="00E974C9"/>
    <w:rsid w:val="00EA2226"/>
    <w:rsid w:val="00EA2E16"/>
    <w:rsid w:val="00EA3F69"/>
    <w:rsid w:val="00EA7DB0"/>
    <w:rsid w:val="00EA7F2F"/>
    <w:rsid w:val="00EB1F85"/>
    <w:rsid w:val="00EB576F"/>
    <w:rsid w:val="00EB6590"/>
    <w:rsid w:val="00EC00DE"/>
    <w:rsid w:val="00EC21DF"/>
    <w:rsid w:val="00EC30E1"/>
    <w:rsid w:val="00EC3436"/>
    <w:rsid w:val="00EC3B70"/>
    <w:rsid w:val="00EC48F4"/>
    <w:rsid w:val="00EC66BB"/>
    <w:rsid w:val="00ED172A"/>
    <w:rsid w:val="00ED502F"/>
    <w:rsid w:val="00EE01DC"/>
    <w:rsid w:val="00F14AB3"/>
    <w:rsid w:val="00F14BEC"/>
    <w:rsid w:val="00F15D56"/>
    <w:rsid w:val="00F224B7"/>
    <w:rsid w:val="00F225C5"/>
    <w:rsid w:val="00F2587A"/>
    <w:rsid w:val="00F33470"/>
    <w:rsid w:val="00F346E1"/>
    <w:rsid w:val="00F34E02"/>
    <w:rsid w:val="00F3715D"/>
    <w:rsid w:val="00F37A10"/>
    <w:rsid w:val="00F413B4"/>
    <w:rsid w:val="00F420C8"/>
    <w:rsid w:val="00F42A4C"/>
    <w:rsid w:val="00F52565"/>
    <w:rsid w:val="00F526BD"/>
    <w:rsid w:val="00F57BB9"/>
    <w:rsid w:val="00F629DF"/>
    <w:rsid w:val="00F62F8A"/>
    <w:rsid w:val="00F634A1"/>
    <w:rsid w:val="00F66A74"/>
    <w:rsid w:val="00F7337F"/>
    <w:rsid w:val="00FA63BF"/>
    <w:rsid w:val="00FB7512"/>
    <w:rsid w:val="00FB7C6D"/>
    <w:rsid w:val="00FC0966"/>
    <w:rsid w:val="00FC333D"/>
    <w:rsid w:val="00FD7547"/>
    <w:rsid w:val="00FE287B"/>
    <w:rsid w:val="00FE6B50"/>
    <w:rsid w:val="00FF1B03"/>
    <w:rsid w:val="00FF3E26"/>
    <w:rsid w:val="00FF5F5C"/>
    <w:rsid w:val="00FF6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0DCF0E"/>
  <w15:docId w15:val="{0F068B62-2E92-439A-831E-CC59CCBC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557A12"/>
    <w:pPr>
      <w:ind w:left="720"/>
      <w:contextualSpacing/>
    </w:pPr>
  </w:style>
  <w:style w:type="paragraph" w:customStyle="1" w:styleId="FSTableColumnRowheading">
    <w:name w:val="FSTable Column/Row heading"/>
    <w:basedOn w:val="Normal"/>
    <w:uiPriority w:val="8"/>
    <w:qFormat/>
    <w:locked/>
    <w:rsid w:val="00B471AA"/>
    <w:pPr>
      <w:spacing w:before="120" w:after="12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0828688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29698864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698892585">
      <w:bodyDiv w:val="1"/>
      <w:marLeft w:val="0"/>
      <w:marRight w:val="0"/>
      <w:marTop w:val="0"/>
      <w:marBottom w:val="0"/>
      <w:divBdr>
        <w:top w:val="none" w:sz="0" w:space="0" w:color="auto"/>
        <w:left w:val="none" w:sz="0" w:space="0" w:color="auto"/>
        <w:bottom w:val="none" w:sz="0" w:space="0" w:color="auto"/>
        <w:right w:val="none" w:sz="0" w:space="0" w:color="auto"/>
      </w:divBdr>
    </w:div>
    <w:div w:id="172105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eur-lex.europa.eu/legal-content/EN/TXT/?qid=1552436019597&amp;uri=CELEX:31999L0003" TargetMode="External"/><Relationship Id="rId3" Type="http://schemas.openxmlformats.org/officeDocument/2006/relationships/customXml" Target="../customXml/item3.xml"/><Relationship Id="rId21" Type="http://schemas.openxmlformats.org/officeDocument/2006/relationships/hyperlink" Target="https://admin-www.foodstandards.gov.au/code/applications/Pages/A1163.aspx"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fao.org/fao-who-codexalimentarius/committees/committee/jp/?committee=CCFH" TargetMode="External"/><Relationship Id="rId33" Type="http://schemas.openxmlformats.org/officeDocument/2006/relationships/image" Target="media/image2.png"/><Relationship Id="rId29" Type="http://schemas.openxmlformats.org/officeDocument/2006/relationships/hyperlink" Target="https://admin-www.foodstandards.gov.au/code/applications/Pages/applicationa1069irra5511.aspx" TargetMode="External"/><Relationship Id="rId16" Type="http://schemas.openxmlformats.org/officeDocument/2006/relationships/header" Target="header2.xml"/><Relationship Id="rId20" Type="http://schemas.openxmlformats.org/officeDocument/2006/relationships/footer" Target="footer3.xml"/><Relationship Id="rId32" Type="http://schemas.openxmlformats.org/officeDocument/2006/relationships/hyperlink" Target="https://www.accessdata.fda.gov/scripts/cdrh/cfdocs/cfcfr/CFRSearch.cfm?CFRPart=179&amp;showFR=1" TargetMode="Externa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laws-lois.justice.gc.ca/eng/regulations/c.r.c.,_c._870/page-87.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dmin-www.foodstandards.gov.au/code/applications/Pages/applicationa413irradiationofherbsandspices/index.aspx" TargetMode="External"/><Relationship Id="rId28" Type="http://schemas.openxmlformats.org/officeDocument/2006/relationships/hyperlink" Target="https://admin-www.foodstandards.gov.au/code/applications/Pages/applicationa1038irra4655.aspx"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admin-www.foodstandards.gov.au/code/applications/Pages/A1115IrradiationBlueberriesandRaspberries.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foodregulation.gov.au/internet/fr/publishing.nsf/Content/publication-Policy-Guideline-on-the-Labelling-of-Food-Produced-using-New-Technologies" TargetMode="External"/><Relationship Id="rId27" Type="http://schemas.openxmlformats.org/officeDocument/2006/relationships/hyperlink" Target="https://admin-www.foodstandards.gov.au/code/applications/Pages/applicationa443irradiationoftropicalfruit/index.aspx" TargetMode="External"/><Relationship Id="rId30" Type="http://schemas.openxmlformats.org/officeDocument/2006/relationships/hyperlink" Target="https://admin-www.foodstandards.gov.au/code/applications/Pages/A1092-Irradiation.aspx" TargetMode="External"/><Relationship Id="rId35" Type="http://schemas.openxmlformats.org/officeDocument/2006/relationships/theme" Target="theme/theme1.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Labelling-of-Food-Produced-using-New-Technologies" TargetMode="External"/><Relationship Id="rId1" Type="http://schemas.openxmlformats.org/officeDocument/2006/relationships/hyperlink" Target="https://admin-www.foodstandards.gov.au/code/applications/Pages/A116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Props1.xml><?xml version="1.0" encoding="utf-8"?>
<ds:datastoreItem xmlns:ds="http://schemas.openxmlformats.org/officeDocument/2006/customXml" ds:itemID="{50FC6FEF-7B35-48CB-9458-AA150810B6C9}">
  <ds:schemaRefs>
    <ds:schemaRef ds:uri="http://schemas.microsoft.com/sharepoint/events"/>
  </ds:schemaRefs>
</ds:datastoreItem>
</file>

<file path=customXml/itemProps2.xml><?xml version="1.0" encoding="utf-8"?>
<ds:datastoreItem xmlns:ds="http://schemas.openxmlformats.org/officeDocument/2006/customXml" ds:itemID="{6F27A75B-4126-449C-92FD-B3023C7B82F3}">
  <ds:schemaRefs>
    <ds:schemaRef ds:uri="Microsoft.SharePoint.Taxonomy.ContentTypeSync"/>
  </ds:schemaRefs>
</ds:datastoreItem>
</file>

<file path=customXml/itemProps3.xml><?xml version="1.0" encoding="utf-8"?>
<ds:datastoreItem xmlns:ds="http://schemas.openxmlformats.org/officeDocument/2006/customXml" ds:itemID="{75E4F352-35D3-4421-9252-CA7C7B30A669}"/>
</file>

<file path=customXml/itemProps4.xml><?xml version="1.0" encoding="utf-8"?>
<ds:datastoreItem xmlns:ds="http://schemas.openxmlformats.org/officeDocument/2006/customXml" ds:itemID="{10FDA54B-3941-4FF7-885A-2F7D1FE843FC}"/>
</file>

<file path=customXml/itemProps5.xml><?xml version="1.0" encoding="utf-8"?>
<ds:datastoreItem xmlns:ds="http://schemas.openxmlformats.org/officeDocument/2006/customXml" ds:itemID="{AD1E810C-4EF4-4461-B61A-BAA47BC220AD}"/>
</file>

<file path=customXml/itemProps6.xml><?xml version="1.0" encoding="utf-8"?>
<ds:datastoreItem xmlns:ds="http://schemas.openxmlformats.org/officeDocument/2006/customXml" ds:itemID="{FA971452-B4A9-4D8C-BEB4-DD1BA1F0E3BB}"/>
</file>

<file path=customXml/itemProps7.xml><?xml version="1.0" encoding="utf-8"?>
<ds:datastoreItem xmlns:ds="http://schemas.openxmlformats.org/officeDocument/2006/customXml" ds:itemID="{AF50F23E-791E-4581-B49A-3AD73DEE5FF1}"/>
</file>

<file path=docProps/app.xml><?xml version="1.0" encoding="utf-8"?>
<Properties xmlns="http://schemas.openxmlformats.org/officeDocument/2006/extended-properties" xmlns:vt="http://schemas.openxmlformats.org/officeDocument/2006/docPropsVTypes">
  <Template>Normal</Template>
  <TotalTime>2</TotalTime>
  <Pages>22</Pages>
  <Words>7270</Words>
  <Characters>41472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48645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CoughC</cp:lastModifiedBy>
  <cp:revision>6</cp:revision>
  <cp:lastPrinted>2019-08-27T20:40:00Z</cp:lastPrinted>
  <dcterms:created xsi:type="dcterms:W3CDTF">2019-10-21T02:58:00Z</dcterms:created>
  <dcterms:modified xsi:type="dcterms:W3CDTF">2019-10-23T23:28:00Z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c50c223c-bb20-431c-83c0-0fa77f8223ce</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0x010100CB2FFA9FD6109347A9495CD5860AFAE6</vt:lpwstr>
  </property>
  <property fmtid="{D5CDD505-2E9C-101B-9397-08002B2CF9AE}" pid="15" name="_dlc_DocIdItemGuid">
    <vt:lpwstr>1bb5f6f5-56da-44f0-b77d-40b2cd6a10b8</vt:lpwstr>
  </property>
  <property fmtid="{D5CDD505-2E9C-101B-9397-08002B2CF9AE}" pid="16" name="DisposalClass">
    <vt:lpwstr/>
  </property>
  <property fmtid="{D5CDD505-2E9C-101B-9397-08002B2CF9AE}" pid="17" name="BCS_">
    <vt:lpwstr>609;#Notifications|cb7eeb77-0baa-4e31-9d98-aad1478135c4</vt:lpwstr>
  </property>
  <property fmtid="{D5CDD505-2E9C-101B-9397-08002B2CF9AE}" pid="18" name="RecordPoint_WorkflowType">
    <vt:lpwstr>ActiveSubmitStub</vt:lpwstr>
  </property>
  <property fmtid="{D5CDD505-2E9C-101B-9397-08002B2CF9AE}" pid="19" name="RecordPoint_ActiveItemUniqueId">
    <vt:lpwstr>{ff24e05e-b26c-4489-af40-10163912a798}</vt:lpwstr>
  </property>
  <property fmtid="{D5CDD505-2E9C-101B-9397-08002B2CF9AE}" pid="20" name="RecordPoint_ActiveItemWebId">
    <vt:lpwstr>{fb4d17bf-4ac9-43de-b784-2d5e7e916ddb}</vt:lpwstr>
  </property>
  <property fmtid="{D5CDD505-2E9C-101B-9397-08002B2CF9AE}" pid="21" name="RecordPoint_ActiveItemSiteId">
    <vt:lpwstr>{dd95a578-5c6a-4f11-92f7-f95884d628d6}</vt:lpwstr>
  </property>
  <property fmtid="{D5CDD505-2E9C-101B-9397-08002B2CF9AE}" pid="22" name="RecordPoint_ActiveItemListId">
    <vt:lpwstr>{2625b25f-9903-4579-ad5e-46eae43c79d4}</vt:lpwstr>
  </property>
  <property fmtid="{D5CDD505-2E9C-101B-9397-08002B2CF9AE}" pid="23" name="RecordPoint_SubmissionCompleted">
    <vt:lpwstr>2019-09-13T09:50:05.1371607+10:00</vt:lpwstr>
  </property>
  <property fmtid="{D5CDD505-2E9C-101B-9397-08002B2CF9AE}" pid="24" name="RecordPoint_RecordNumberSubmitted">
    <vt:lpwstr>R0000116312</vt:lpwstr>
  </property>
</Properties>
</file>